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MMD-TC Nº 03/2022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6798"/>
        <w:tblGridChange w:id="0">
          <w:tblGrid>
            <w:gridCol w:w="1696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Portaria da Comissão de Garantia de Qualidade MMD-TC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28" w:right="0" w:firstLine="708.000000000000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PORTARIA Nº __, DE __ DE ____ DE ____. </w:t>
      </w:r>
    </w:p>
    <w:p w:rsidR="00000000" w:rsidDel="00000000" w:rsidP="00000000" w:rsidRDefault="00000000" w:rsidRPr="00000000" w14:paraId="0000000F">
      <w:pPr>
        <w:ind w:left="45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536" w:firstLine="0"/>
        <w:jc w:val="both"/>
        <w:rPr/>
      </w:pPr>
      <w:r w:rsidDel="00000000" w:rsidR="00000000" w:rsidRPr="00000000">
        <w:rPr>
          <w:rtl w:val="0"/>
        </w:rPr>
        <w:t xml:space="preserve">Constitui Comissão de Garantia da Qualidade das avaliações dos Tribunais de Contas do Brasil, realizadas com base no Marco de Medição do Desempenho dos Tribunais de Contas - MMD-TC – ciclo ____, no âmbito do Programa Qualidade e Agilidade dos Tribunais de Contas.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Atricon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exercício das competências associadas ao objetivo disposto no inc. IV do § 3º do art. 2º do Estatuto da Associação 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regulamento do MMD-TC, com abrangência nacional;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MMD-TC é parte do Planejamento Estratégico 2018-2023 da Atricon;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Art. 1º Constituir a Comissão de Garantia da Qualidade do MMD-TC ciclo _____, integrada pelos seguintes membros: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Elencar nomes e TCs de origem: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7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 Presidente da Atricon (supervisão);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7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 coordenador da Comissão de Coordenação-Geral do MMD-TC (coordenação);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7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Conselheiros;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7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Conselheiros-Substitutos;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Auditores de Controle Externo.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§ 1º Caberá à Comissão de Coordenação-Geral do MMD-TC constituir as subcomissões de Garantia de Qualidade responsáveis pelo procedimento em cada Tribunal de Contas.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§ 2º As subcomissões serão constituídas por no mínimo três membros identificados no caput, sendo pelo menos um deles Conselheiro ou Conselheiro-Substituto.</w:t>
      </w:r>
    </w:p>
    <w:p w:rsidR="00000000" w:rsidDel="00000000" w:rsidP="00000000" w:rsidRDefault="00000000" w:rsidRPr="00000000" w14:paraId="00000027">
      <w:pPr>
        <w:spacing w:after="0" w:lineRule="auto"/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Art. 2° Compete à Comissão de Garantia de Qualidade o desempenho das atribuições previstas no </w:t>
      </w:r>
      <w:r w:rsidDel="00000000" w:rsidR="00000000" w:rsidRPr="00000000">
        <w:rPr>
          <w:highlight w:val="yellow"/>
          <w:rtl w:val="0"/>
        </w:rPr>
        <w:t xml:space="preserve">item 6.3.5 do Manual de Procedimentos do MMD-TC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Art. 3º Revogar a Portaria nº ___/____.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Art. 4º Esta Portaria entra em vigor na data da sua publicação. </w:t>
      </w:r>
    </w:p>
    <w:p w:rsidR="00000000" w:rsidDel="00000000" w:rsidP="00000000" w:rsidRDefault="00000000" w:rsidRPr="00000000" w14:paraId="0000002B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Nome e assinatura do Presidente da Atricon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2.00 de </w:t>
    </w:r>
    <w:r w:rsidDel="00000000" w:rsidR="00000000" w:rsidRPr="00000000">
      <w:rPr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8"/>
        <w:szCs w:val="18"/>
        <w:rtl w:val="0"/>
      </w:rPr>
      <w:t xml:space="preserve">05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18"/>
        <w:szCs w:val="18"/>
        <w:rtl w:val="0"/>
      </w:rPr>
      <w:t xml:space="preserve">2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12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C06675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006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0063A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20063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0063A"/>
  </w:style>
  <w:style w:type="paragraph" w:styleId="Rodap">
    <w:name w:val="footer"/>
    <w:basedOn w:val="Normal"/>
    <w:link w:val="RodapChar"/>
    <w:uiPriority w:val="99"/>
    <w:unhideWhenUsed w:val="1"/>
    <w:rsid w:val="0020063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0063A"/>
  </w:style>
  <w:style w:type="table" w:styleId="Tabelacomgrade">
    <w:name w:val="Table Grid"/>
    <w:basedOn w:val="Tabelanormal"/>
    <w:uiPriority w:val="39"/>
    <w:rsid w:val="00F701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EmvfbylDtq24wk/48QZECIAJxA==">AMUW2mUKcH5C05H0ZQxkUhkR3I/WPojiAJkQ46dkwO9d1f/apu3P0mOZ3ii/Xryj4d6ER1KULloUMLHqS8aEVLVUpnN1IX48/H9GtmtGJZOq02M28U8vfMs=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2022-04-19T18:41:00Z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