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07/2022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11879"/>
        <w:tblGridChange w:id="0">
          <w:tblGrid>
            <w:gridCol w:w="2263"/>
            <w:gridCol w:w="1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Diretório TCs – Estrutura de pastas/documentação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Tribunais de Contas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DIRETÓRIO TCs - ESTRUTURA DE PASTAS/DOCUMENTAÇÃO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835"/>
        <w:gridCol w:w="3657"/>
        <w:gridCol w:w="4829"/>
        <w:tblGridChange w:id="0">
          <w:tblGrid>
            <w:gridCol w:w="2830"/>
            <w:gridCol w:w="2835"/>
            <w:gridCol w:w="3657"/>
            <w:gridCol w:w="4829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1º nível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2º nível</w:t>
            </w:r>
          </w:p>
        </w:tc>
        <w:tc>
          <w:tcPr>
            <w:shd w:fill="9cc3e5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3º nível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que arquivar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Evidências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 pasta para cada indicador (Ex: “QATC 1 – Composição, organização e funcionamento”)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 pasta para cada dimensão de cada indicador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(Ex: “1.1 Quanto a ministros e conselheiros”)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Evidências de cada dimensão, nomeando o documento com o número do critério + nome documento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(Ex. “1.1.1 – Ato nomeação Conselheiro X”)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Boas práticas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Documentação relativa às boas práticas apresentadas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Documentação de recursos enviados à Atricon (se houver)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Garantia de Qualidade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Declaração de garantia de qualidade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Relatórios de resultados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Relatório do TC (se houver)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Slides de apresentação de resultados do TC (se houver)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Relatório da Atricon – resultados do TC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Relatório da Atricon – resultados consolidados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Papeis de trabalho da Comissão de Avaliação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Plano de ação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Relatórios de reuniões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(Outros)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Papeis de trabalho da Comissão de Controle de Qualidade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ind w:left="3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Plano de ação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Relatórios de reuniões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(Outros)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ind w:left="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Outras pastas, a critério do 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2.00 de </w:t>
    </w:r>
    <w:r w:rsidDel="00000000" w:rsidR="00000000" w:rsidRPr="00000000">
      <w:rPr>
        <w:sz w:val="18"/>
        <w:szCs w:val="18"/>
        <w:rtl w:val="0"/>
      </w:rPr>
      <w:t xml:space="preserve">03/05/2022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5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402665"/>
    <w:pPr>
      <w:ind w:left="720"/>
      <w:contextualSpacing w:val="1"/>
    </w:pPr>
  </w:style>
  <w:style w:type="paragraph" w:styleId="Style35" w:customStyle="1">
    <w:name w:val="Style35"/>
    <w:basedOn w:val="Normal"/>
    <w:rsid w:val="0064512C"/>
    <w:pPr>
      <w:widowControl w:val="0"/>
      <w:suppressAutoHyphens w:val="1"/>
      <w:autoSpaceDN w:val="0"/>
      <w:spacing w:after="0" w:line="240" w:lineRule="auto"/>
      <w:textAlignment w:val="baseline"/>
    </w:pPr>
    <w:rPr>
      <w:rFonts w:ascii="Palatino Linotype" w:cs="Mangal" w:eastAsia="Palatino Linotype" w:hAnsi="Palatino Linotype"/>
      <w:kern w:val="3"/>
      <w:sz w:val="24"/>
      <w:szCs w:val="24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B15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B1515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oY6XnROPf4pMn7y6Aa+DcCGhw==">AMUW2mUWjisgS2738TzZrl+62hfj3GxywZ1Bao2YRbByHwHgeUtD7zqTwhLixQXJNQiPYKpIT+NRZvYTKrw+7fI7IZDDFiOXvMqviy7xxSimR/NO/3IIzMk=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2022-04-19T19:18:00Z</dcterms:created>
  <dc:creator>RISODALVA BEATA DE CASTRO</dc:creator>
</cp:coreProperties>
</file>