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ind w:left="2949" w:right="2951" w:firstLine="0"/>
        <w:jc w:val="center"/>
        <w:rPr/>
      </w:pPr>
      <w:r w:rsidDel="00000000" w:rsidR="00000000" w:rsidRPr="00000000">
        <w:rPr>
          <w:rtl w:val="0"/>
        </w:rPr>
        <w:t xml:space="preserve">MODELO MMD-TC Nº 11/2022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8055"/>
        <w:tblGridChange w:id="0">
          <w:tblGrid>
            <w:gridCol w:w="1695"/>
            <w:gridCol w:w="8055"/>
          </w:tblGrid>
        </w:tblGridChange>
      </w:tblGrid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Declaração de garantia de qualidade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Comissão de Garantia de Qualidade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5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6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56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GARANTIA DE QUALIDADE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  <w:tab w:val="left" w:pos="3335"/>
          <w:tab w:val="left" w:pos="3608"/>
        </w:tabs>
        <w:spacing w:after="0" w:before="0" w:line="360" w:lineRule="auto"/>
        <w:ind w:left="402" w:right="116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O Tribunal de Contas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aderiu ao Marco de Medição de Desempenho dos Tribunais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de Contas  – MMD-TC.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134" w:line="360" w:lineRule="auto"/>
        <w:ind w:left="402" w:right="120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avaliação e o controle de qualidade foram realizados por Comissões designadas pelo TC mediante Portaria nº __/___, compostas pelos seguintes membros e servidores: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0" w:line="360" w:lineRule="auto"/>
        <w:ind w:left="839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Comissão de Avaliação: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360" w:lineRule="auto"/>
        <w:ind w:left="829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   (Relacionar, identificando o coordenador)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0"/>
        </w:tabs>
        <w:spacing w:after="0" w:before="1" w:line="360" w:lineRule="auto"/>
        <w:ind w:left="839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Comissão de Controle de Qualidade: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360" w:lineRule="auto"/>
        <w:ind w:left="829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   (Relacionar, identificando o coordenador)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1" w:line="360" w:lineRule="auto"/>
        <w:ind w:left="402" w:right="113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processo de garantia de qualidade foi realizado no período de _______ a _______ sob a modalidade revisão por pares e pela equipe a seguir relacionada, integrante da Comissão designada pela Portaria Atricon nº___/___: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29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a.    (Relacionar, identificando o coordenador)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0" w:line="360" w:lineRule="auto"/>
        <w:ind w:left="402" w:right="113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Durante todo o processo, o TC assegurou à Comissão de Garantia de Qualidade o acesso a pessoas, documentos, informações e sistemas relevantes para o procedimento.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134" w:line="360" w:lineRule="auto"/>
        <w:ind w:left="402" w:right="113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responsabilidades da Comissão de Garantia de Qualidade consistem, em síntese, na verificação da conformidade dos processos de avaliação e de controle de qualidade, no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xame da consistência das evidências relativas aos indicadores componentes da amostra analisada, na seleção de boas práticas associadas ao MMD-TC, na formulação de recomendações e na expedição da Declaração da Garantia de Qualidade.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0" w:line="360" w:lineRule="auto"/>
        <w:ind w:left="402" w:right="116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Os processos de avaliação e de controle de qualidade ocorreram em conformidade com o Manual de Procedimentos do MMD-TC, não sendo detectadas inconsistências, conforme detalhado no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check-list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desta Comissão, em anexo.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135" w:line="360" w:lineRule="auto"/>
        <w:ind w:firstLine="2778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OU NO CASO DE INCONSISTÊNCIAS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0" w:line="360" w:lineRule="auto"/>
        <w:ind w:left="402" w:right="113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Os processos de avaliação e de controle de qualidade ocorreram em conformidade com o Manual de Procedimentos do MMD-TC. Eventuais inconsistências detectadas foram detalhadas no 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check-list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em anexo e, quando relevantes, resultaram em recomendações desta Comissão.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4" w:before="134" w:line="360" w:lineRule="auto"/>
        <w:ind w:left="402" w:right="115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 exame da consistência das evidências, foram considerados os seguintes indicadores, integrantes da amostra selecionada pela Comissão de Coordenação-Geral do MMD-TC:</w:t>
      </w:r>
    </w:p>
    <w:tbl>
      <w:tblPr>
        <w:tblStyle w:val="Table2"/>
        <w:tblW w:w="9390.0" w:type="dxa"/>
        <w:jc w:val="left"/>
        <w:tblInd w:w="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5"/>
        <w:gridCol w:w="1815"/>
        <w:gridCol w:w="5760"/>
        <w:tblGridChange w:id="0">
          <w:tblGrid>
            <w:gridCol w:w="1815"/>
            <w:gridCol w:w="1815"/>
            <w:gridCol w:w="5760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140.55118110236265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Domínio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.35433070866133676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Nº QATC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 indicador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136" w:line="360" w:lineRule="auto"/>
        <w:ind w:left="402" w:right="117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Tendo em vista o conjunto de evidências apresentadas para os indicadores da amostra, as conclusões das Comissões de Avaliação e de Controle de Qualidade foram validadas por esta Comissão de Garantia de Qualidade.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before="134" w:line="360" w:lineRule="auto"/>
        <w:ind w:firstLine="2778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OU NO CASO DE INCONSISTÊNCIAS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0" w:line="360" w:lineRule="auto"/>
        <w:ind w:left="402" w:right="117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Tendo em vista o conjunto de evidências apresentadas para os indicadores da amostra, as conclusões das Comissões de Avaliação e de Controle de Qualidade foram validadas por esta Comissão de Garantia de Qualidade, exceto as relativas aos critérios relacionados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5.0" w:type="dxa"/>
        <w:jc w:val="left"/>
        <w:tblInd w:w="3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035"/>
        <w:gridCol w:w="3870"/>
        <w:gridCol w:w="1890"/>
        <w:gridCol w:w="1620"/>
        <w:tblGridChange w:id="0">
          <w:tblGrid>
            <w:gridCol w:w="990"/>
            <w:gridCol w:w="1035"/>
            <w:gridCol w:w="3870"/>
            <w:gridCol w:w="1890"/>
            <w:gridCol w:w="1620"/>
          </w:tblGrid>
        </w:tblGridChange>
      </w:tblGrid>
      <w:tr>
        <w:trPr>
          <w:cantSplit w:val="0"/>
          <w:trHeight w:val="855" w:hRule="atLeast"/>
          <w:tblHeader w:val="1"/>
        </w:trPr>
        <w:tc>
          <w:tcPr>
            <w:shd w:fill="9cc3e5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229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Nº QATC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Critério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Texto Critério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40.74803149606396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Avaliação TC (CCQ)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Atende?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-80.78740157480354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Avaliação CGQ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Atende?</w:t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56" w:line="360" w:lineRule="auto"/>
        <w:ind w:left="402" w:right="122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Dentre as boas práticas apresentadas pelo TC, conforme orientações do Manual do MMD- TC, sugere-se à Atricon o registro e a divulgação das relacionadas a seguir: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4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10"/>
        <w:gridCol w:w="2565"/>
        <w:tblGridChange w:id="0">
          <w:tblGrid>
            <w:gridCol w:w="6810"/>
            <w:gridCol w:w="256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Título boas práticas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6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Indicadores associados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56" w:line="360" w:lineRule="auto"/>
        <w:ind w:left="402" w:right="0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Ao final do processo de garantia de qualidade, apresentam-se as seguintes recomendações: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9"/>
        </w:tabs>
        <w:spacing w:after="0" w:before="134" w:line="360" w:lineRule="auto"/>
        <w:ind w:left="829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10.1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Ao TC: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6"/>
        </w:tabs>
        <w:spacing w:after="0" w:before="134" w:line="360" w:lineRule="auto"/>
        <w:ind w:left="1535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(relacionar)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9"/>
          <w:tab w:val="left" w:pos="1560"/>
        </w:tabs>
        <w:spacing w:after="0" w:before="0" w:line="360" w:lineRule="auto"/>
        <w:ind w:left="1559" w:right="0" w:hanging="73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À Atricon: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6"/>
        </w:tabs>
        <w:spacing w:after="0" w:before="134" w:line="360" w:lineRule="auto"/>
        <w:ind w:left="1535" w:right="0" w:hanging="360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(relacionar)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</w:tabs>
        <w:spacing w:after="0" w:before="0" w:line="360" w:lineRule="auto"/>
        <w:ind w:left="402" w:right="118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Todas as conclusões registradas neste documento foram previamente discutidas e acordadas com os representantes da Comissão de Avaliação do TC.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  <w:tab w:val="left" w:pos="7359"/>
        </w:tabs>
        <w:spacing w:after="0" w:before="5" w:line="360" w:lineRule="auto"/>
        <w:ind w:left="402" w:right="114" w:hanging="283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Considerando a adequação dos processos de avaliação e de controle de qualidade, bem como a suficiência das evidências apresentadas para os indicadores constantes da amostra analisada,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2" w:right="0" w:hanging="283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  <w:tab w:val="left" w:pos="7359"/>
        </w:tabs>
        <w:spacing w:after="0" w:before="5" w:line="360" w:lineRule="auto"/>
        <w:ind w:left="402" w:right="114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DECLARAMOS 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  <w:tab w:val="left" w:pos="7359"/>
        </w:tabs>
        <w:spacing w:after="0" w:before="5" w:line="360" w:lineRule="auto"/>
        <w:ind w:left="402" w:right="114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3"/>
          <w:tab w:val="left" w:pos="7359"/>
        </w:tabs>
        <w:spacing w:after="0" w:before="5" w:line="360" w:lineRule="auto"/>
        <w:ind w:left="402" w:right="114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  a   avaliação   de   desempenho   do    TC ocorreu   em conformidade com o que dispõe o Manual de Aplicação do MMD-TC – ciclo ______.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1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19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Nomes e assinaturas dos membros da Comissão de Garantia de Qualidade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80" w:top="1820" w:left="1134" w:right="843" w:header="70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2.0 de </w:t>
    </w:r>
    <w:r w:rsidDel="00000000" w:rsidR="00000000" w:rsidRPr="00000000">
      <w:rPr>
        <w:sz w:val="18"/>
        <w:szCs w:val="18"/>
        <w:rtl w:val="0"/>
      </w:rPr>
      <w:t xml:space="preserve">03/05/2022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2015018</wp:posOffset>
          </wp:positionH>
          <wp:positionV relativeFrom="page">
            <wp:posOffset>177800</wp:posOffset>
          </wp:positionV>
          <wp:extent cx="3714750" cy="714375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14750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2" w:hanging="283.99999999999994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839" w:hanging="359.99999999999994"/>
      </w:pPr>
      <w:rPr>
        <w:rFonts w:ascii="Calibri" w:cs="Calibri" w:eastAsia="Calibri" w:hAnsi="Calibri"/>
        <w:sz w:val="22"/>
        <w:szCs w:val="22"/>
      </w:rPr>
    </w:lvl>
    <w:lvl w:ilvl="2">
      <w:start w:val="0"/>
      <w:numFmt w:val="bullet"/>
      <w:lvlText w:val="•"/>
      <w:lvlJc w:val="left"/>
      <w:pPr>
        <w:ind w:left="1717" w:hanging="360"/>
      </w:pPr>
      <w:rPr/>
    </w:lvl>
    <w:lvl w:ilvl="3">
      <w:start w:val="0"/>
      <w:numFmt w:val="bullet"/>
      <w:lvlText w:val="•"/>
      <w:lvlJc w:val="left"/>
      <w:pPr>
        <w:ind w:left="2595" w:hanging="360"/>
      </w:pPr>
      <w:rPr/>
    </w:lvl>
    <w:lvl w:ilvl="4">
      <w:start w:val="0"/>
      <w:numFmt w:val="bullet"/>
      <w:lvlText w:val="•"/>
      <w:lvlJc w:val="left"/>
      <w:pPr>
        <w:ind w:left="3473" w:hanging="360"/>
      </w:pPr>
      <w:rPr/>
    </w:lvl>
    <w:lvl w:ilvl="5">
      <w:start w:val="0"/>
      <w:numFmt w:val="bullet"/>
      <w:lvlText w:val="•"/>
      <w:lvlJc w:val="left"/>
      <w:pPr>
        <w:ind w:left="4351" w:hanging="360"/>
      </w:pPr>
      <w:rPr/>
    </w:lvl>
    <w:lvl w:ilvl="6">
      <w:start w:val="0"/>
      <w:numFmt w:val="bullet"/>
      <w:lvlText w:val="•"/>
      <w:lvlJc w:val="left"/>
      <w:pPr>
        <w:ind w:left="5228" w:hanging="360"/>
      </w:pPr>
      <w:rPr/>
    </w:lvl>
    <w:lvl w:ilvl="7">
      <w:start w:val="0"/>
      <w:numFmt w:val="bullet"/>
      <w:lvlText w:val="•"/>
      <w:lvlJc w:val="left"/>
      <w:pPr>
        <w:ind w:left="6106" w:hanging="360"/>
      </w:pPr>
      <w:rPr/>
    </w:lvl>
    <w:lvl w:ilvl="8">
      <w:start w:val="0"/>
      <w:numFmt w:val="bullet"/>
      <w:lvlText w:val="•"/>
      <w:lvlJc w:val="left"/>
      <w:pPr>
        <w:ind w:left="6984" w:hanging="360"/>
      </w:pPr>
      <w:rPr/>
    </w:lvl>
  </w:abstractNum>
  <w:abstractNum w:abstractNumId="2">
    <w:lvl w:ilvl="0">
      <w:start w:val="10"/>
      <w:numFmt w:val="decimal"/>
      <w:lvlText w:val="%1"/>
      <w:lvlJc w:val="left"/>
      <w:pPr>
        <w:ind w:left="1559" w:hanging="730"/>
      </w:pPr>
      <w:rPr/>
    </w:lvl>
    <w:lvl w:ilvl="1">
      <w:start w:val="2"/>
      <w:numFmt w:val="decimal"/>
      <w:lvlText w:val="%1.%2"/>
      <w:lvlJc w:val="left"/>
      <w:pPr>
        <w:ind w:left="1559" w:hanging="730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Letter"/>
      <w:lvlText w:val="%3."/>
      <w:lvlJc w:val="left"/>
      <w:pPr>
        <w:ind w:left="1535" w:hanging="360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•"/>
      <w:lvlJc w:val="left"/>
      <w:pPr>
        <w:ind w:left="3155" w:hanging="360"/>
      </w:pPr>
      <w:rPr/>
    </w:lvl>
    <w:lvl w:ilvl="4">
      <w:start w:val="0"/>
      <w:numFmt w:val="bullet"/>
      <w:lvlText w:val="•"/>
      <w:lvlJc w:val="left"/>
      <w:pPr>
        <w:ind w:left="3953" w:hanging="360"/>
      </w:pPr>
      <w:rPr/>
    </w:lvl>
    <w:lvl w:ilvl="5">
      <w:start w:val="0"/>
      <w:numFmt w:val="bullet"/>
      <w:lvlText w:val="•"/>
      <w:lvlJc w:val="left"/>
      <w:pPr>
        <w:ind w:left="4751" w:hanging="360"/>
      </w:pPr>
      <w:rPr/>
    </w:lvl>
    <w:lvl w:ilvl="6">
      <w:start w:val="0"/>
      <w:numFmt w:val="bullet"/>
      <w:lvlText w:val="•"/>
      <w:lvlJc w:val="left"/>
      <w:pPr>
        <w:ind w:left="5548" w:hanging="360"/>
      </w:pPr>
      <w:rPr/>
    </w:lvl>
    <w:lvl w:ilvl="7">
      <w:start w:val="0"/>
      <w:numFmt w:val="bullet"/>
      <w:lvlText w:val="•"/>
      <w:lvlJc w:val="left"/>
      <w:pPr>
        <w:ind w:left="6346" w:hanging="360"/>
      </w:pPr>
      <w:rPr/>
    </w:lvl>
    <w:lvl w:ilvl="8">
      <w:start w:val="0"/>
      <w:numFmt w:val="bullet"/>
      <w:lvlText w:val="•"/>
      <w:lvlJc w:val="left"/>
      <w:pPr>
        <w:ind w:left="7144" w:hanging="36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402" w:hanging="283.99999999999994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535" w:hanging="360"/>
      </w:pPr>
      <w:rPr>
        <w:rFonts w:ascii="Calibri" w:cs="Calibri" w:eastAsia="Calibri" w:hAnsi="Calibri"/>
        <w:sz w:val="22"/>
        <w:szCs w:val="22"/>
      </w:rPr>
    </w:lvl>
    <w:lvl w:ilvl="2">
      <w:start w:val="0"/>
      <w:numFmt w:val="bullet"/>
      <w:lvlText w:val="•"/>
      <w:lvlJc w:val="left"/>
      <w:pPr>
        <w:ind w:left="1560" w:hanging="360"/>
      </w:pPr>
      <w:rPr/>
    </w:lvl>
    <w:lvl w:ilvl="3">
      <w:start w:val="0"/>
      <w:numFmt w:val="bullet"/>
      <w:lvlText w:val="•"/>
      <w:lvlJc w:val="left"/>
      <w:pPr>
        <w:ind w:left="2457" w:hanging="360"/>
      </w:pPr>
      <w:rPr/>
    </w:lvl>
    <w:lvl w:ilvl="4">
      <w:start w:val="0"/>
      <w:numFmt w:val="bullet"/>
      <w:lvlText w:val="•"/>
      <w:lvlJc w:val="left"/>
      <w:pPr>
        <w:ind w:left="3355" w:hanging="360"/>
      </w:pPr>
      <w:rPr/>
    </w:lvl>
    <w:lvl w:ilvl="5">
      <w:start w:val="0"/>
      <w:numFmt w:val="bullet"/>
      <w:lvlText w:val="•"/>
      <w:lvlJc w:val="left"/>
      <w:pPr>
        <w:ind w:left="4252" w:hanging="360"/>
      </w:pPr>
      <w:rPr/>
    </w:lvl>
    <w:lvl w:ilvl="6">
      <w:start w:val="0"/>
      <w:numFmt w:val="bullet"/>
      <w:lvlText w:val="•"/>
      <w:lvlJc w:val="left"/>
      <w:pPr>
        <w:ind w:left="5150" w:hanging="360"/>
      </w:pPr>
      <w:rPr/>
    </w:lvl>
    <w:lvl w:ilvl="7">
      <w:start w:val="0"/>
      <w:numFmt w:val="bullet"/>
      <w:lvlText w:val="•"/>
      <w:lvlJc w:val="left"/>
      <w:pPr>
        <w:ind w:left="6047" w:hanging="360"/>
      </w:pPr>
      <w:rPr/>
    </w:lvl>
    <w:lvl w:ilvl="8">
      <w:start w:val="0"/>
      <w:numFmt w:val="bullet"/>
      <w:lvlText w:val="•"/>
      <w:lvlJc w:val="left"/>
      <w:pPr>
        <w:ind w:left="6945" w:hanging="360"/>
      </w:pPr>
      <w:rPr/>
    </w:lvl>
  </w:abstractNum>
  <w:abstractNum w:abstractNumId="4">
    <w:lvl w:ilvl="0">
      <w:start w:val="6"/>
      <w:numFmt w:val="decimal"/>
      <w:lvlText w:val="%1."/>
      <w:lvlJc w:val="left"/>
      <w:pPr>
        <w:ind w:left="402" w:hanging="283.99999999999994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23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2902" w:hanging="284"/>
      </w:pPr>
      <w:rPr/>
    </w:lvl>
    <w:lvl w:ilvl="4">
      <w:start w:val="0"/>
      <w:numFmt w:val="bullet"/>
      <w:lvlText w:val="•"/>
      <w:lvlJc w:val="left"/>
      <w:pPr>
        <w:ind w:left="3736" w:hanging="283.99999999999955"/>
      </w:pPr>
      <w:rPr/>
    </w:lvl>
    <w:lvl w:ilvl="5">
      <w:start w:val="0"/>
      <w:numFmt w:val="bullet"/>
      <w:lvlText w:val="•"/>
      <w:lvlJc w:val="left"/>
      <w:pPr>
        <w:ind w:left="4570" w:hanging="284"/>
      </w:pPr>
      <w:rPr/>
    </w:lvl>
    <w:lvl w:ilvl="6">
      <w:start w:val="0"/>
      <w:numFmt w:val="bullet"/>
      <w:lvlText w:val="•"/>
      <w:lvlJc w:val="left"/>
      <w:pPr>
        <w:ind w:left="5404" w:hanging="284"/>
      </w:pPr>
      <w:rPr/>
    </w:lvl>
    <w:lvl w:ilvl="7">
      <w:start w:val="0"/>
      <w:numFmt w:val="bullet"/>
      <w:lvlText w:val="•"/>
      <w:lvlJc w:val="left"/>
      <w:pPr>
        <w:ind w:left="6238" w:hanging="284"/>
      </w:pPr>
      <w:rPr/>
    </w:lvl>
    <w:lvl w:ilvl="8">
      <w:start w:val="0"/>
      <w:numFmt w:val="bullet"/>
      <w:lvlText w:val="•"/>
      <w:lvlJc w:val="left"/>
      <w:pPr>
        <w:ind w:left="7072" w:hanging="283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2778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paragraph" w:styleId="Ttulo1">
    <w:name w:val="heading 1"/>
    <w:basedOn w:val="Normal"/>
    <w:uiPriority w:val="1"/>
    <w:qFormat w:val="1"/>
    <w:pPr>
      <w:spacing w:before="56"/>
      <w:ind w:left="2778"/>
      <w:outlineLvl w:val="0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402" w:hanging="28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1"/>
      <w:ind w:left="105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B85BBC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B85BBC"/>
    <w:rPr>
      <w:rFonts w:ascii="Calibri" w:cs="Calibri" w:eastAsia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B85BB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B85B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85BBC"/>
    <w:rPr>
      <w:rFonts w:ascii="Calibri" w:cs="Calibri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B85B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85BBC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mW9+iEtMOC2BPSzGjkct/XXXw==">AMUW2mXzW8hzykkXnjI5xuESE2eLagJ57jlcrOL/cy7+Tnwlsff64QQAP7TevuWW+cWiZR70rKXuon/l1Ww9jELF8AlezqBudpgb7c4FDUEs+n/OxjRb2t8=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2022-04-19T19:54:00Z</dcterms:created>
  <dc:creator>jandrade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0x01010000D8745AC4177D4DB8D087C34DB23B68</vt:lpwstr>
  </property>
</Properties>
</file>