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MMD-TC Nº 14/2022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6798"/>
        <w:tblGridChange w:id="0">
          <w:tblGrid>
            <w:gridCol w:w="1696"/>
            <w:gridCol w:w="67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Portaria da Comissão de Representantes dos TCs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Atricon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Bienal</w:t>
            </w:r>
          </w:p>
        </w:tc>
      </w:tr>
    </w:tbl>
    <w:p w:rsidR="00000000" w:rsidDel="00000000" w:rsidP="00000000" w:rsidRDefault="00000000" w:rsidRPr="00000000" w14:paraId="0000000A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PORTARIA Nº__, </w:t>
      </w:r>
      <w:r w:rsidDel="00000000" w:rsidR="00000000" w:rsidRPr="00000000">
        <w:rPr>
          <w:b w:val="1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 DE ___________ </w:t>
      </w:r>
      <w:r w:rsidDel="00000000" w:rsidR="00000000" w:rsidRPr="00000000">
        <w:rPr>
          <w:b w:val="1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638" w:right="11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Constitui a Comissão de </w:t>
      </w:r>
      <w:r w:rsidDel="00000000" w:rsidR="00000000" w:rsidRPr="00000000">
        <w:rPr>
          <w:rtl w:val="0"/>
        </w:rPr>
        <w:t xml:space="preserve">Representantes dos Tribunais de Contas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Marco de Medição de Desempenho dos Tribunais de Contas do Brasil – MMD-TC.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da Atricon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exercício das competências associadas ao objetivo disposto no inc. IV do § 3º do art. 2º do Estatuto da Associação e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o Marco de Medição de Desempenho dos Tribunais de Contas do Brasil – MMD-TC, aprovado pela Diretoria e pelo Conselho Deliberativo da Atricon, em reunião no dia 15 de dezembro de 2014, em Brasília-DF, no âmbito do Programa Qualidade e Agilidade dos Tribunais de Contas, implantado em 2013;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o regulamento do MMD-TC, com abrangência nacional;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 o MMD-TC é parte do Planejamento Estratégico 2018-2023 da Atricon;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RESOLVE: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Art. 1º Constituir a Comissão de Representantes dos Tribunais de Contas do Marco de Medição de Desempenho dos Tribunais de Contas do Brasil – MMD-TC para o ciclo _____, integrada pelos seguintes membros: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left="141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Elencar nomes e TCs de origem: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Auditores de Controle Externo.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Parágrafo Único. Compete à Comissão de Representantes dos Tribunais de Contas o desempenho das atribuições previstas </w:t>
      </w:r>
      <w:r w:rsidDel="00000000" w:rsidR="00000000" w:rsidRPr="00000000">
        <w:rPr>
          <w:highlight w:val="white"/>
          <w:rtl w:val="0"/>
        </w:rPr>
        <w:t xml:space="preserve">no item 6.3.2 do Manual de Procedimentos do MMD-TC.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Art. 2° Esta Portaria entra em vigor na data da sua publicação.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Nome e assinatura do Presidente da Atricon</w:t>
      </w:r>
    </w:p>
    <w:sectPr>
      <w:headerReference r:id="rId7" w:type="default"/>
      <w:footerReference r:id="rId8" w:type="default"/>
      <w:pgSz w:h="16838" w:w="11906" w:orient="portrait"/>
      <w:pgMar w:bottom="1417" w:top="1417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50" w:right="0" w:hanging="357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Versão </w:t>
    </w:r>
    <w:r w:rsidDel="00000000" w:rsidR="00000000" w:rsidRPr="00000000">
      <w:rPr>
        <w:sz w:val="18"/>
        <w:szCs w:val="18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.00 de </w:t>
    </w:r>
    <w:r w:rsidDel="00000000" w:rsidR="00000000" w:rsidRPr="00000000">
      <w:rPr>
        <w:sz w:val="18"/>
        <w:szCs w:val="18"/>
        <w:rtl w:val="0"/>
      </w:rPr>
      <w:t xml:space="preserve">03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/05/2022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50" w:right="0" w:hanging="35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50" w:right="0" w:hanging="35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832809" cy="704917"/>
          <wp:effectExtent b="0" l="0" r="0" t="0"/>
          <wp:docPr descr="C:\Users\Leopoldo\Google Drive\GT - PROJETO ATRICON\01 DOCUMENTOS DO CLIENTE\logo_nova_atricon-1.png" id="48" name="image1.png"/>
          <a:graphic>
            <a:graphicData uri="http://schemas.openxmlformats.org/drawingml/2006/picture">
              <pic:pic>
                <pic:nvPicPr>
                  <pic:cNvPr descr="C:\Users\Leopoldo\Google Drive\GT - PROJETO ATRICON\01 DOCUMENTOS DO CLIENTE\logo_nova_atricon-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2809" cy="704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50" w:right="0" w:hanging="35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5E7D"/>
    <w:pPr>
      <w:spacing w:line="259" w:lineRule="auto"/>
      <w:ind w:left="0" w:firstLine="0"/>
      <w:jc w:val="left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  <w:ind w:left="850" w:hanging="357"/>
      <w:jc w:val="both"/>
    </w:pPr>
  </w:style>
  <w:style w:type="character" w:styleId="CabealhoChar" w:customStyle="1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  <w:ind w:left="850" w:hanging="357"/>
      <w:jc w:val="both"/>
    </w:pPr>
  </w:style>
  <w:style w:type="character" w:styleId="RodapChar" w:customStyle="1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  <w:ind w:left="0" w:firstLine="0"/>
      <w:jc w:val="lef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uiPriority w:val="99"/>
    <w:rsid w:val="00775E7D"/>
    <w:pPr>
      <w:widowControl w:val="0"/>
      <w:spacing w:after="0" w:line="276" w:lineRule="auto"/>
      <w:ind w:left="0" w:firstLine="0"/>
      <w:jc w:val="left"/>
    </w:pPr>
    <w:rPr>
      <w:rFonts w:ascii="Times New Roman" w:cs="Times New Roman" w:eastAsia="Times New Roman" w:hAnsi="Times New Roman"/>
      <w:color w:val="00000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 w:val="1"/>
    <w:rsid w:val="00775E7D"/>
    <w:pPr>
      <w:spacing w:after="0" w:line="240" w:lineRule="auto"/>
      <w:jc w:val="both"/>
    </w:pPr>
    <w:rPr>
      <w:rFonts w:ascii="Arial" w:cs="Times New Roman" w:eastAsia="Times New Roman" w:hAnsi="Arial"/>
      <w:sz w:val="24"/>
      <w:szCs w:val="20"/>
      <w:lang w:eastAsia="pt-BR" w:val="en-US"/>
    </w:rPr>
  </w:style>
  <w:style w:type="character" w:styleId="CorpodetextoChar" w:customStyle="1">
    <w:name w:val="Corpo de texto Char"/>
    <w:basedOn w:val="Fontepargpadro"/>
    <w:link w:val="Corpodetexto"/>
    <w:semiHidden w:val="1"/>
    <w:rsid w:val="00775E7D"/>
    <w:rPr>
      <w:rFonts w:ascii="Arial" w:cs="Times New Roman" w:eastAsia="Times New Roman" w:hAnsi="Arial"/>
      <w:sz w:val="24"/>
      <w:szCs w:val="20"/>
      <w:lang w:eastAsia="pt-BR" w:val="en-US"/>
    </w:rPr>
  </w:style>
  <w:style w:type="paragraph" w:styleId="PargrafodaLista">
    <w:name w:val="List Paragraph"/>
    <w:basedOn w:val="Normal"/>
    <w:uiPriority w:val="34"/>
    <w:qFormat w:val="1"/>
    <w:rsid w:val="00C951B7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7288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7288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+6NyCYp71aL6IYNKQ+5otltJg==">AMUW2mXT8V7P4BFyX3vWCTvQEtWBfab5D6661Y7rKQ7Bt8N3I15rqhgcNaHyqRirrcFdvxbkmnuk2WDVSyFlB4nEI503OsX95kNoSowkI+dK4zn6Y71zd/8=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2022-04-19T18:19:00Z</dcterms:created>
  <dc:creator>RISODALVA BEATA DE CASTRO</dc:creator>
</cp:coreProperties>
</file>