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0" w:line="360" w:lineRule="auto"/>
        <w:ind w:left="851" w:hanging="851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MODELO MMD-TC Nº 15/2022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0" w:line="360" w:lineRule="auto"/>
        <w:ind w:left="851" w:hanging="85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0"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080"/>
        <w:tblGridChange w:id="0">
          <w:tblGrid>
            <w:gridCol w:w="1696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Questionário sobre informações técnicas dos TCs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USUÁRIOS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Atricon, Tribunais de Contas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PERIODICIDADE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65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Quando necessário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ENVIO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Via formulário eletrônico no sistema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851"/>
        </w:tabs>
        <w:spacing w:after="0"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0" w:line="360" w:lineRule="auto"/>
        <w:ind w:left="851" w:hanging="85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QUESTIONÁRIO SOBRE INFORMAÇÕES TÉCNICAS DOS TCS</w:t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0" w:line="360" w:lineRule="auto"/>
        <w:ind w:left="851" w:hanging="851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4678"/>
        <w:tblGridChange w:id="0">
          <w:tblGrid>
            <w:gridCol w:w="5103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ind w:firstLine="28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Campos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851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Detalhamento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 do 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Tribunal de Contas.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Data da resposta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do preenchimento do formulário eletrônico.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Responsável pela resposta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pessoa responsável pelas informações.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Cargo/Unidade de lotação e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e-mail</w:t>
            </w:r>
            <w:r w:rsidDel="00000000" w:rsidR="00000000" w:rsidRPr="00000000">
              <w:rPr>
                <w:color w:val="000000"/>
                <w:rtl w:val="0"/>
              </w:rPr>
              <w:t xml:space="preserve"> do responsável pelas informações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Cargo/Unidade de lotação </w:t>
            </w:r>
            <w:r w:rsidDel="00000000" w:rsidR="00000000" w:rsidRPr="00000000">
              <w:rPr>
                <w:color w:val="202124"/>
                <w:shd w:fill="f1f3f4" w:val="clear"/>
                <w:rtl w:val="0"/>
              </w:rPr>
              <w:t xml:space="preserve">e e-mail </w:t>
            </w:r>
            <w:r w:rsidDel="00000000" w:rsidR="00000000" w:rsidRPr="00000000">
              <w:rPr>
                <w:rtl w:val="0"/>
              </w:rPr>
              <w:t xml:space="preserve">do responsável pelas informações.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851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Questionário sobre Educação, com ênfase em Educação Ambiental (Lei nº 9.795/99)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TC prioriza, em seu plano anual de fiscalização, verificar quais ações de apoio às escolas foram desenvolvidas para a implementação da Política Nacional de Educação Ambiental (Lei Federal nº 9.795/99), especialmente quanto à reorganização das propostas curriculares e pedagógicas e os programas ou projetos implementados, processo de monitoramento e avaliação de resultados?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1D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360" w:lineRule="auto"/>
              <w:ind w:left="0" w:firstLine="28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TC examina os planos de educação, o plano plurianual, as leis de diretrizes orçamentárias e as leis orçamentárias anuais, com a finalidade de verificar a compatibilidade entre eles e se estão sendo consignadas dotações orçamentárias que permitam executar as metas e estratégias da educação, inclusive aquelas relacionadas para dar consecução à Política Nacional de Educação Ambiental?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20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60" w:lineRule="auto"/>
              <w:ind w:left="0" w:firstLine="28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TC fiscaliza, a partir de análises de risco, os principais programas relacionados à infraestrutura e aos recursos pedagógicos, inclusive no que tange aos assuntos relacionados à educação ambiental?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23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TC exerce o controle concomitante dos recursos da educação, abrangendo o acompanhamento e o monitoramento do cumprimento das metas e estratégias parciais e finais dos planos de educação, bem como exerce o controle sobre o processo de monitoramento e avaliação de resultados para auferir os avanços no âmbito da educação ambiental?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26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TC promove encontro nas escolas, estimula o controle social e a formação cidadã dos alunos, professores e pais de alunos, fomenta a colaboração das comunidades escolares para que sejam parceiras no processo de melhoria do ensino e fiscais da boa gestão, inclusive no tange à sustentabilidade socioambiental?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29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851"/>
              </w:tabs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Questionário acerca do cumprimento do Artigo 26-A da LDB: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TC fiscaliza se o Executivo Estadual/Municipal e/ou o Conselho Estadual/Municipal de Educação instituíram normativas específicas, atualmente vigentes, relativas à implementação do ensino da história e cultura africana, afro-brasileira e indígena nas redes e estabelecimentos de ensino, nos termos do artigo 26-A da Lei de Diretrizes e Bases da Educação (LDB) e normativas regulamentadoras?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2E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 TC fiscaliza se nos Projetos Pedagógicos e Planos de Ensino está incluído, conforme previsto no Artigo 26-A da LDB, o ensino da história e cultura africana, afro-brasileira e indígena?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31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 TC fiscaliza Nas peças orçamentárias do Estado/Município (PPA, LDO e LOA) existe recurso orçamentário específico e exclusivo para a execução de política pública de educação das relações étnico-raciais e ensino das culturas e histórias africana, afro-brasileira e indígena?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34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 TC fiscaliza se Estado/Município oportuniza a participação de professores em cursos voltados à formação na área de Educação das Relações Étnico-Raciais e Ensino das Culturas e Histórias Afro-Brasileiras, Africanas e dos Povos Indígenas?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37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360" w:lineRule="auto"/>
              <w:ind w:left="0" w:firstLine="28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 TC fiscaliza Os conteúdos referentes à história e cultura afro-brasileira e dos povos indígenas brasileiros são ministrados nas escolas das redes estadual e municipal de ensino?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“sim” ou “não”.</w:t>
            </w:r>
          </w:p>
          <w:p w:rsidR="00000000" w:rsidDel="00000000" w:rsidP="00000000" w:rsidRDefault="00000000" w:rsidRPr="00000000" w14:paraId="0000003A">
            <w:pPr>
              <w:tabs>
                <w:tab w:val="left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caso de resposta afirmativa, indicar link para acesso a principais produtos e resultados, se houver.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left" w:pos="851"/>
      </w:tabs>
      <w:spacing w:after="0" w:line="360" w:lineRule="auto"/>
      <w:ind w:left="851" w:hanging="851"/>
      <w:jc w:val="right"/>
      <w:rPr>
        <w:color w:val="000000"/>
      </w:rPr>
    </w:pPr>
    <w:r w:rsidDel="00000000" w:rsidR="00000000" w:rsidRPr="00000000">
      <w:rPr>
        <w:b w:val="1"/>
        <w:sz w:val="18"/>
        <w:szCs w:val="18"/>
        <w:rtl w:val="0"/>
      </w:rPr>
      <w:tab/>
      <w:tab/>
      <w:tab/>
      <w:tab/>
      <w:tab/>
      <w:tab/>
      <w:tab/>
      <w:tab/>
    </w:r>
    <w:r w:rsidDel="00000000" w:rsidR="00000000" w:rsidRPr="00000000">
      <w:rPr>
        <w:sz w:val="18"/>
        <w:szCs w:val="18"/>
        <w:rtl w:val="0"/>
      </w:rPr>
      <w:tab/>
      <w:t xml:space="preserve">Versão 1.00 de 04/08/2022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832809" cy="704917"/>
          <wp:effectExtent b="0" l="0" r="0" t="0"/>
          <wp:docPr descr="C:\Users\Leopoldo\Google Drive\GT - PROJETO ATRICON\01 DOCUMENTOS DO CLIENTE\logo_nova_atricon-1.png" id="14" name="image1.png"/>
          <a:graphic>
            <a:graphicData uri="http://schemas.openxmlformats.org/drawingml/2006/picture">
              <pic:pic>
                <pic:nvPicPr>
                  <pic:cNvPr descr="C:\Users\Leopoldo\Google Drive\GT - PROJETO ATRICON\01 DOCUMENTOS DO CLIENTE\logo_nova_atricon-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2809" cy="7049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A57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A5751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67D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67D8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67D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67D8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67D84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675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75A57"/>
  </w:style>
  <w:style w:type="paragraph" w:styleId="Rodap">
    <w:name w:val="footer"/>
    <w:basedOn w:val="Normal"/>
    <w:link w:val="RodapChar"/>
    <w:uiPriority w:val="99"/>
    <w:unhideWhenUsed w:val="1"/>
    <w:rsid w:val="00675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75A57"/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C3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4A60EA"/>
    <w:pPr>
      <w:ind w:left="720"/>
      <w:contextualSpacing w:val="1"/>
    </w:p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vJZoftjWaJVAt208/hqshQzaw==">AMUW2mUU31Z2/E9O8fw7uZlW+78AH37ei95pZmK5r1coqbYl4KpOpFKIKqpup0tKtjM+3koNduJ3yzkhmHzh6d1yDdFCqEDzC9BuPjd5B58CTOM60pCLPcd2WAdah81A91Rhw+mTl0Xi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2022-08-03T15:12:00Z</dcterms:created>
  <dc:creator>Paulo Eduardo Panassol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0x01010000D8745AC4177D4DB8D087C34DB23B68</vt:lpwstr>
  </property>
</Properties>
</file>