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D297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left="2949" w:right="2951"/>
        <w:jc w:val="center"/>
        <w:rPr>
          <w:b/>
          <w:color w:val="000000"/>
        </w:rPr>
      </w:pPr>
      <w:r>
        <w:rPr>
          <w:b/>
          <w:color w:val="000000"/>
        </w:rPr>
        <w:t>MODELO MMD-TC Nº 11/2024</w:t>
      </w:r>
    </w:p>
    <w:p w14:paraId="125ED39C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tbl>
      <w:tblPr>
        <w:tblStyle w:val="4"/>
        <w:tblW w:w="90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7395"/>
      </w:tblGrid>
      <w:tr w:rsidR="008F773A" w14:paraId="42BA7B6D" w14:textId="77777777">
        <w:trPr>
          <w:trHeight w:val="413"/>
        </w:trPr>
        <w:tc>
          <w:tcPr>
            <w:tcW w:w="1695" w:type="dxa"/>
          </w:tcPr>
          <w:p w14:paraId="5AE8B899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  <w:tc>
          <w:tcPr>
            <w:tcW w:w="7395" w:type="dxa"/>
          </w:tcPr>
          <w:p w14:paraId="2CFEB6E0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Declaração de </w:t>
            </w:r>
            <w:r>
              <w:t>G</w:t>
            </w:r>
            <w:r>
              <w:rPr>
                <w:color w:val="000000"/>
              </w:rPr>
              <w:t>arantia d</w:t>
            </w:r>
            <w:r>
              <w:t>a</w:t>
            </w:r>
            <w:r>
              <w:rPr>
                <w:color w:val="000000"/>
              </w:rPr>
              <w:t xml:space="preserve"> Qualidade</w:t>
            </w:r>
          </w:p>
        </w:tc>
      </w:tr>
      <w:tr w:rsidR="008F773A" w14:paraId="2C803C5E" w14:textId="77777777">
        <w:trPr>
          <w:trHeight w:val="413"/>
        </w:trPr>
        <w:tc>
          <w:tcPr>
            <w:tcW w:w="1695" w:type="dxa"/>
          </w:tcPr>
          <w:p w14:paraId="071DEC74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USUÁRIOS</w:t>
            </w:r>
          </w:p>
        </w:tc>
        <w:tc>
          <w:tcPr>
            <w:tcW w:w="7395" w:type="dxa"/>
          </w:tcPr>
          <w:p w14:paraId="2204C82D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Comissão de Garantia d</w:t>
            </w:r>
            <w:r>
              <w:t>a</w:t>
            </w:r>
            <w:r>
              <w:rPr>
                <w:color w:val="000000"/>
              </w:rPr>
              <w:t xml:space="preserve"> Qualidade e Subcomissões de Garantia da Qualidade</w:t>
            </w:r>
          </w:p>
        </w:tc>
      </w:tr>
      <w:tr w:rsidR="008F773A" w14:paraId="66300232" w14:textId="77777777">
        <w:trPr>
          <w:trHeight w:val="413"/>
        </w:trPr>
        <w:tc>
          <w:tcPr>
            <w:tcW w:w="1695" w:type="dxa"/>
          </w:tcPr>
          <w:p w14:paraId="4E98A9B4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PERIODICIDADE</w:t>
            </w:r>
          </w:p>
        </w:tc>
        <w:tc>
          <w:tcPr>
            <w:tcW w:w="7395" w:type="dxa"/>
          </w:tcPr>
          <w:p w14:paraId="51B34A23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Bienal</w:t>
            </w:r>
          </w:p>
        </w:tc>
      </w:tr>
      <w:tr w:rsidR="008F773A" w14:paraId="4C4E050E" w14:textId="77777777">
        <w:trPr>
          <w:trHeight w:val="413"/>
        </w:trPr>
        <w:tc>
          <w:tcPr>
            <w:tcW w:w="1695" w:type="dxa"/>
          </w:tcPr>
          <w:p w14:paraId="5AD11E11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5"/>
              <w:rPr>
                <w:b/>
                <w:color w:val="000000"/>
              </w:rPr>
            </w:pPr>
            <w:r>
              <w:rPr>
                <w:b/>
              </w:rPr>
              <w:t>ENVIO</w:t>
            </w:r>
          </w:p>
        </w:tc>
        <w:tc>
          <w:tcPr>
            <w:tcW w:w="7395" w:type="dxa"/>
          </w:tcPr>
          <w:p w14:paraId="237B4D37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05"/>
              <w:rPr>
                <w:color w:val="000000"/>
              </w:rPr>
            </w:pPr>
            <w:r>
              <w:t>Via Sistema Aprimore</w:t>
            </w:r>
          </w:p>
        </w:tc>
      </w:tr>
    </w:tbl>
    <w:p w14:paraId="6824CE43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b/>
          <w:color w:val="000000"/>
        </w:rPr>
      </w:pPr>
    </w:p>
    <w:p w14:paraId="6709DAEC" w14:textId="77777777" w:rsidR="008F773A" w:rsidRDefault="008F773A">
      <w:pPr>
        <w:spacing w:before="56" w:line="360" w:lineRule="auto"/>
        <w:jc w:val="center"/>
        <w:rPr>
          <w:b/>
        </w:rPr>
      </w:pPr>
    </w:p>
    <w:p w14:paraId="00206FDF" w14:textId="77777777" w:rsidR="008F773A" w:rsidRDefault="00551537">
      <w:pPr>
        <w:spacing w:before="56" w:line="360" w:lineRule="auto"/>
        <w:jc w:val="center"/>
        <w:rPr>
          <w:b/>
        </w:rPr>
      </w:pPr>
      <w:r>
        <w:rPr>
          <w:b/>
        </w:rPr>
        <w:t>DECLARAÇÃO DE GARANTIA DA QUALIDADE</w:t>
      </w:r>
    </w:p>
    <w:p w14:paraId="77707335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3000B71C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267D82F7" w14:textId="46E32479" w:rsidR="008F773A" w:rsidRDefault="005515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3335"/>
          <w:tab w:val="left" w:pos="3608"/>
        </w:tabs>
        <w:spacing w:line="360" w:lineRule="auto"/>
        <w:ind w:right="116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O Tribunal de Contas</w:t>
      </w:r>
      <w:r>
        <w:rPr>
          <w:color w:val="000000"/>
          <w:highlight w:val="white"/>
          <w:u w:val="single"/>
        </w:rPr>
        <w:t xml:space="preserve"> </w:t>
      </w:r>
      <w:r>
        <w:rPr>
          <w:color w:val="000000"/>
          <w:highlight w:val="white"/>
          <w:u w:val="single"/>
        </w:rPr>
        <w:tab/>
      </w:r>
      <w:r>
        <w:rPr>
          <w:color w:val="000000"/>
          <w:highlight w:val="white"/>
        </w:rPr>
        <w:t>aderiu ao Marco de Medição de Desempenho dos Tribunais de Contas</w:t>
      </w:r>
      <w:r>
        <w:rPr>
          <w:color w:val="000000"/>
          <w:highlight w:val="white"/>
        </w:rPr>
        <w:t xml:space="preserve"> – MMD-TC.</w:t>
      </w:r>
    </w:p>
    <w:p w14:paraId="381616BF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2736F22" w14:textId="77777777" w:rsidR="008F773A" w:rsidRDefault="005515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134" w:line="360" w:lineRule="auto"/>
        <w:ind w:right="120"/>
        <w:jc w:val="both"/>
        <w:rPr>
          <w:color w:val="000000"/>
        </w:rPr>
      </w:pPr>
      <w:r>
        <w:rPr>
          <w:color w:val="000000"/>
        </w:rPr>
        <w:t>A avaliação e o controle d</w:t>
      </w:r>
      <w:r>
        <w:t>a</w:t>
      </w:r>
      <w:r>
        <w:rPr>
          <w:color w:val="000000"/>
        </w:rPr>
        <w:t xml:space="preserve"> qualidade foram realizados por Comissões designadas pelo TC mediante Portaria nº __/___, compostas pelos seguintes membros e servidores:</w:t>
      </w:r>
    </w:p>
    <w:p w14:paraId="617B4BB5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52144F38" w14:textId="77777777" w:rsidR="008F773A" w:rsidRDefault="005515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360" w:lineRule="auto"/>
        <w:ind w:hanging="360"/>
        <w:jc w:val="both"/>
      </w:pPr>
      <w:r>
        <w:rPr>
          <w:color w:val="000000"/>
        </w:rPr>
        <w:t>Comissão de Avaliação:</w:t>
      </w:r>
    </w:p>
    <w:p w14:paraId="703009D5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spacing w:before="134" w:line="360" w:lineRule="auto"/>
        <w:ind w:left="829"/>
        <w:rPr>
          <w:color w:val="000000"/>
        </w:rPr>
      </w:pPr>
      <w:r>
        <w:rPr>
          <w:color w:val="000000"/>
        </w:rPr>
        <w:t>a.    (Relacionar, identificando o coordenador)</w:t>
      </w:r>
    </w:p>
    <w:p w14:paraId="7DF61F32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color w:val="000000"/>
        </w:rPr>
      </w:pPr>
    </w:p>
    <w:p w14:paraId="6617B3E1" w14:textId="77777777" w:rsidR="008F773A" w:rsidRDefault="005515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" w:line="360" w:lineRule="auto"/>
        <w:ind w:hanging="360"/>
        <w:jc w:val="both"/>
        <w:rPr>
          <w:color w:val="000000"/>
        </w:rPr>
      </w:pPr>
      <w:r>
        <w:rPr>
          <w:color w:val="000000"/>
        </w:rPr>
        <w:t>Comissão de Controle d</w:t>
      </w:r>
      <w:r>
        <w:t>a</w:t>
      </w:r>
      <w:r>
        <w:rPr>
          <w:color w:val="000000"/>
        </w:rPr>
        <w:t xml:space="preserve"> Qualidade:</w:t>
      </w:r>
    </w:p>
    <w:p w14:paraId="365C9C2D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829"/>
        <w:rPr>
          <w:color w:val="000000"/>
        </w:rPr>
      </w:pPr>
      <w:r>
        <w:rPr>
          <w:color w:val="000000"/>
        </w:rPr>
        <w:t>a.    (Relacionar, identificando o coordenador)</w:t>
      </w:r>
    </w:p>
    <w:p w14:paraId="19E0313C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8CD77D4" w14:textId="77777777" w:rsidR="008F773A" w:rsidRDefault="005515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1" w:line="360" w:lineRule="auto"/>
        <w:ind w:right="113"/>
        <w:jc w:val="both"/>
        <w:rPr>
          <w:color w:val="000000"/>
        </w:rPr>
      </w:pPr>
      <w:r>
        <w:rPr>
          <w:color w:val="000000"/>
        </w:rPr>
        <w:t>O processo de garantia d</w:t>
      </w:r>
      <w:r>
        <w:t>a</w:t>
      </w:r>
      <w:r>
        <w:rPr>
          <w:color w:val="000000"/>
        </w:rPr>
        <w:t xml:space="preserve"> qualidade foi realizado no período de _______ a _______ sob a modalidade revisão por pares e pela</w:t>
      </w:r>
      <w:r>
        <w:t xml:space="preserve"> subcomissão da Comissão de Garantia da Qualidade designada pela Portaria Atricon nº __/__, a seguir relacionada:</w:t>
      </w:r>
    </w:p>
    <w:p w14:paraId="0D7AE03A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9"/>
        <w:rPr>
          <w:color w:val="000000"/>
        </w:rPr>
      </w:pPr>
      <w:r>
        <w:rPr>
          <w:color w:val="000000"/>
        </w:rPr>
        <w:t>a.    (Relacionar nome e TC, identificando o coordenador)</w:t>
      </w:r>
    </w:p>
    <w:p w14:paraId="3DF8CD3D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9"/>
      </w:pPr>
    </w:p>
    <w:p w14:paraId="0CE67188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9"/>
      </w:pPr>
    </w:p>
    <w:p w14:paraId="7F9E361C" w14:textId="77777777" w:rsidR="008F773A" w:rsidRDefault="005515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1" w:line="360" w:lineRule="auto"/>
        <w:ind w:right="113"/>
        <w:jc w:val="both"/>
      </w:pPr>
      <w:r>
        <w:lastRenderedPageBreak/>
        <w:t>Durante a visita técnica ao TC, a subcomissão da Comissão de Garantia da Qualidade foi acompanhada pelos técnicos e assessores a seguir relacionados, os quais atuaram na condição de observadores ou de apoio, não se manifestaram sobre o processo de avaliação e nem emitiram opiniões ou juízos de valor sobre o processo de garantia da qualidade:</w:t>
      </w:r>
    </w:p>
    <w:p w14:paraId="738EC9DA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1" w:line="360" w:lineRule="auto"/>
        <w:ind w:left="402" w:right="113"/>
        <w:jc w:val="both"/>
      </w:pPr>
      <w:r>
        <w:t>a. (Relacionar nome e TC).</w:t>
      </w:r>
    </w:p>
    <w:p w14:paraId="47E2AFCC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9"/>
      </w:pPr>
    </w:p>
    <w:p w14:paraId="5E7F0BD6" w14:textId="77777777" w:rsidR="008F773A" w:rsidRDefault="005515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line="360" w:lineRule="auto"/>
        <w:ind w:right="113"/>
        <w:jc w:val="both"/>
        <w:rPr>
          <w:color w:val="000000"/>
        </w:rPr>
      </w:pPr>
      <w:r>
        <w:t xml:space="preserve">Durante todo o processo, o TC assegurou </w:t>
      </w:r>
      <w:r>
        <w:t>à subcomissão da Comissão de Garantia da Qualidade o acesso a pessoas, documentos, informações e sistemas relevantes para o procedimento</w:t>
      </w:r>
      <w:r>
        <w:rPr>
          <w:color w:val="000000"/>
        </w:rPr>
        <w:t>.</w:t>
      </w:r>
    </w:p>
    <w:p w14:paraId="4AF5EBB4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576045DC" w14:textId="77777777" w:rsidR="008F773A" w:rsidRDefault="005515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134" w:line="360" w:lineRule="auto"/>
        <w:ind w:right="113"/>
        <w:jc w:val="both"/>
        <w:rPr>
          <w:color w:val="000000"/>
        </w:rPr>
      </w:pPr>
      <w:r>
        <w:rPr>
          <w:color w:val="000000"/>
        </w:rPr>
        <w:t xml:space="preserve">As responsabilidades da </w:t>
      </w:r>
      <w:r>
        <w:t>subcomissão da Comissão de Garantia da Qualidade</w:t>
      </w:r>
      <w:r>
        <w:rPr>
          <w:color w:val="000000"/>
        </w:rPr>
        <w:t xml:space="preserve"> consistem, em síntese, na verificação da conformidade dos processos de avaliação e de controle </w:t>
      </w:r>
      <w:r>
        <w:t>da</w:t>
      </w:r>
      <w:r>
        <w:rPr>
          <w:color w:val="000000"/>
        </w:rPr>
        <w:t xml:space="preserve"> qualidade, no</w:t>
      </w:r>
      <w:r>
        <w:t xml:space="preserve"> e</w:t>
      </w:r>
      <w:r>
        <w:rPr>
          <w:color w:val="000000"/>
        </w:rPr>
        <w:t xml:space="preserve">xame da consistência das evidências relativas aos indicadores componentes da amostra analisada, na </w:t>
      </w:r>
      <w:r>
        <w:t>pré-validação</w:t>
      </w:r>
      <w:r>
        <w:rPr>
          <w:color w:val="000000"/>
        </w:rPr>
        <w:t xml:space="preserve"> de boas práticas associadas ao MMD-TC, na formulação de recomendações e na expedição da Declaração da Garantia d</w:t>
      </w:r>
      <w:r>
        <w:t>a</w:t>
      </w:r>
      <w:r>
        <w:rPr>
          <w:color w:val="000000"/>
        </w:rPr>
        <w:t xml:space="preserve"> Qualidade.</w:t>
      </w:r>
    </w:p>
    <w:p w14:paraId="2364F139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color w:val="000000"/>
        </w:rPr>
      </w:pPr>
    </w:p>
    <w:p w14:paraId="7286EB8D" w14:textId="77777777" w:rsidR="008F773A" w:rsidRDefault="005515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line="360" w:lineRule="auto"/>
        <w:ind w:right="116"/>
        <w:jc w:val="both"/>
        <w:rPr>
          <w:color w:val="000000"/>
        </w:rPr>
      </w:pPr>
      <w:r>
        <w:rPr>
          <w:color w:val="000000"/>
        </w:rPr>
        <w:t>Os processos de avaliação e de controle d</w:t>
      </w:r>
      <w:r>
        <w:t>a</w:t>
      </w:r>
      <w:r>
        <w:rPr>
          <w:color w:val="000000"/>
        </w:rPr>
        <w:t xml:space="preserve"> </w:t>
      </w:r>
      <w:r>
        <w:rPr>
          <w:color w:val="000000"/>
        </w:rPr>
        <w:t xml:space="preserve">qualidade ocorreram em conformidade com o Manual de Procedimentos do MMD-TC e respectivos Anexos, não sendo detectadas inconsistências, conforme detalhado no </w:t>
      </w:r>
      <w:r>
        <w:rPr>
          <w:i/>
          <w:color w:val="000000"/>
        </w:rPr>
        <w:t>check-list</w:t>
      </w:r>
      <w:r>
        <w:rPr>
          <w:color w:val="000000"/>
        </w:rPr>
        <w:t xml:space="preserve"> desta </w:t>
      </w:r>
      <w:r>
        <w:t>subco</w:t>
      </w:r>
      <w:r>
        <w:rPr>
          <w:color w:val="000000"/>
        </w:rPr>
        <w:t xml:space="preserve">missão, </w:t>
      </w:r>
      <w:r>
        <w:t>incluso</w:t>
      </w:r>
      <w:r>
        <w:rPr>
          <w:color w:val="000000"/>
        </w:rPr>
        <w:t>.</w:t>
      </w:r>
    </w:p>
    <w:p w14:paraId="3D0763E1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5F8F78B1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2778" w:firstLine="2778"/>
        <w:rPr>
          <w:b/>
          <w:color w:val="000000"/>
        </w:rPr>
      </w:pPr>
      <w:r>
        <w:rPr>
          <w:b/>
          <w:color w:val="000000"/>
        </w:rPr>
        <w:t>OU NO CASO DE INCONSISTÊNCIAS</w:t>
      </w:r>
    </w:p>
    <w:p w14:paraId="1E1602DB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4D785C42" w14:textId="77777777" w:rsidR="008F773A" w:rsidRDefault="005515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line="360" w:lineRule="auto"/>
        <w:ind w:right="113"/>
        <w:jc w:val="both"/>
        <w:rPr>
          <w:color w:val="000000"/>
        </w:rPr>
      </w:pPr>
      <w:r>
        <w:rPr>
          <w:color w:val="000000"/>
        </w:rPr>
        <w:t>Os processos de avaliação e de controle d</w:t>
      </w:r>
      <w:r>
        <w:t>a</w:t>
      </w:r>
      <w:r>
        <w:rPr>
          <w:color w:val="000000"/>
        </w:rPr>
        <w:t xml:space="preserve"> qualidade ocorreram em conformidade com o Manual de Procedimentos do MMD-TC. Eventuais inconsistências detectadas foram detalhadas no </w:t>
      </w:r>
      <w:r>
        <w:rPr>
          <w:i/>
          <w:color w:val="000000"/>
        </w:rPr>
        <w:t>check-list</w:t>
      </w:r>
      <w:r>
        <w:rPr>
          <w:color w:val="000000"/>
        </w:rPr>
        <w:t xml:space="preserve"> em anexo e, quando relevantes, resultaram em recomendações desta </w:t>
      </w:r>
      <w:r>
        <w:t>subcomissão</w:t>
      </w:r>
      <w:r>
        <w:rPr>
          <w:color w:val="000000"/>
        </w:rPr>
        <w:t>.</w:t>
      </w:r>
    </w:p>
    <w:p w14:paraId="1D781B82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23C4014D" w14:textId="77777777" w:rsidR="008F773A" w:rsidRDefault="005515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134" w:after="4" w:line="360" w:lineRule="auto"/>
        <w:ind w:right="115"/>
        <w:jc w:val="both"/>
        <w:rPr>
          <w:color w:val="000000"/>
        </w:rPr>
      </w:pPr>
      <w:r>
        <w:rPr>
          <w:color w:val="000000"/>
        </w:rPr>
        <w:t>No exame da consistência das evidências, foram considerados os seguintes indicadores, integrantes da amostra selecionada pel</w:t>
      </w:r>
      <w:r>
        <w:t xml:space="preserve">o Comitê Executivo </w:t>
      </w:r>
      <w:r>
        <w:rPr>
          <w:color w:val="000000"/>
        </w:rPr>
        <w:t>do MMD-TC:</w:t>
      </w:r>
    </w:p>
    <w:p w14:paraId="33C8D4BE" w14:textId="77777777" w:rsidR="00551537" w:rsidRDefault="00551537" w:rsidP="00551537">
      <w:pPr>
        <w:pStyle w:val="PargrafodaLista"/>
        <w:rPr>
          <w:color w:val="000000"/>
        </w:rPr>
      </w:pPr>
    </w:p>
    <w:p w14:paraId="42AE4CE5" w14:textId="77777777" w:rsidR="00551537" w:rsidRDefault="00551537" w:rsidP="00551537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134" w:after="4" w:line="360" w:lineRule="auto"/>
        <w:ind w:right="115"/>
        <w:jc w:val="both"/>
        <w:rPr>
          <w:color w:val="000000"/>
        </w:rPr>
      </w:pPr>
    </w:p>
    <w:tbl>
      <w:tblPr>
        <w:tblStyle w:val="3"/>
        <w:tblW w:w="8812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5182"/>
      </w:tblGrid>
      <w:tr w:rsidR="008F773A" w14:paraId="5D123C5C" w14:textId="77777777">
        <w:trPr>
          <w:trHeight w:val="413"/>
        </w:trPr>
        <w:tc>
          <w:tcPr>
            <w:tcW w:w="1815" w:type="dxa"/>
            <w:shd w:val="clear" w:color="auto" w:fill="9CC3E5"/>
          </w:tcPr>
          <w:p w14:paraId="3172ADDB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right="1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Domínio</w:t>
            </w:r>
          </w:p>
        </w:tc>
        <w:tc>
          <w:tcPr>
            <w:tcW w:w="1815" w:type="dxa"/>
            <w:shd w:val="clear" w:color="auto" w:fill="9CC3E5"/>
          </w:tcPr>
          <w:p w14:paraId="17847DF5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QATC</w:t>
            </w:r>
          </w:p>
        </w:tc>
        <w:tc>
          <w:tcPr>
            <w:tcW w:w="5182" w:type="dxa"/>
            <w:shd w:val="clear" w:color="auto" w:fill="9CC3E5"/>
          </w:tcPr>
          <w:p w14:paraId="50E0D9D9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indicador</w:t>
            </w:r>
          </w:p>
        </w:tc>
      </w:tr>
      <w:tr w:rsidR="008F773A" w14:paraId="5B5C48EC" w14:textId="77777777">
        <w:trPr>
          <w:trHeight w:val="413"/>
        </w:trPr>
        <w:tc>
          <w:tcPr>
            <w:tcW w:w="1815" w:type="dxa"/>
          </w:tcPr>
          <w:p w14:paraId="1FA29028" w14:textId="77777777" w:rsidR="008F773A" w:rsidRDefault="008F773A">
            <w:pPr>
              <w:spacing w:line="360" w:lineRule="auto"/>
            </w:pPr>
          </w:p>
        </w:tc>
        <w:tc>
          <w:tcPr>
            <w:tcW w:w="1815" w:type="dxa"/>
          </w:tcPr>
          <w:p w14:paraId="3A81163D" w14:textId="77777777" w:rsidR="008F773A" w:rsidRDefault="008F773A">
            <w:pPr>
              <w:spacing w:line="360" w:lineRule="auto"/>
            </w:pPr>
          </w:p>
        </w:tc>
        <w:tc>
          <w:tcPr>
            <w:tcW w:w="5182" w:type="dxa"/>
          </w:tcPr>
          <w:p w14:paraId="053EF57C" w14:textId="77777777" w:rsidR="008F773A" w:rsidRDefault="008F773A">
            <w:pPr>
              <w:spacing w:line="360" w:lineRule="auto"/>
            </w:pPr>
          </w:p>
        </w:tc>
      </w:tr>
      <w:tr w:rsidR="008F773A" w14:paraId="26FD6404" w14:textId="77777777">
        <w:trPr>
          <w:trHeight w:val="413"/>
        </w:trPr>
        <w:tc>
          <w:tcPr>
            <w:tcW w:w="1815" w:type="dxa"/>
          </w:tcPr>
          <w:p w14:paraId="7E666C62" w14:textId="77777777" w:rsidR="008F773A" w:rsidRDefault="008F773A">
            <w:pPr>
              <w:spacing w:line="360" w:lineRule="auto"/>
            </w:pPr>
          </w:p>
        </w:tc>
        <w:tc>
          <w:tcPr>
            <w:tcW w:w="1815" w:type="dxa"/>
          </w:tcPr>
          <w:p w14:paraId="3A58E5F6" w14:textId="77777777" w:rsidR="008F773A" w:rsidRDefault="008F773A">
            <w:pPr>
              <w:spacing w:line="360" w:lineRule="auto"/>
            </w:pPr>
          </w:p>
        </w:tc>
        <w:tc>
          <w:tcPr>
            <w:tcW w:w="5182" w:type="dxa"/>
          </w:tcPr>
          <w:p w14:paraId="7F7AD9AB" w14:textId="77777777" w:rsidR="008F773A" w:rsidRDefault="008F773A">
            <w:pPr>
              <w:spacing w:line="360" w:lineRule="auto"/>
            </w:pPr>
          </w:p>
        </w:tc>
      </w:tr>
    </w:tbl>
    <w:p w14:paraId="61F2C0B2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38D7654D" w14:textId="77777777" w:rsidR="008F773A" w:rsidRDefault="005515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136" w:line="360" w:lineRule="auto"/>
        <w:ind w:right="117"/>
        <w:jc w:val="both"/>
        <w:rPr>
          <w:color w:val="000000"/>
        </w:rPr>
      </w:pPr>
      <w:r>
        <w:rPr>
          <w:color w:val="000000"/>
        </w:rPr>
        <w:t xml:space="preserve">Tendo em vista o conjunto de evidências apresentadas para os indicadores da amostra, as conclusões das Comissões de Avaliação e de Controle da Qualidade foram validadas por esta </w:t>
      </w:r>
      <w:r>
        <w:t>subcomissão da Comissão de Garantia da Qualidade.</w:t>
      </w:r>
    </w:p>
    <w:p w14:paraId="3A55FF62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033263A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spacing w:before="134" w:line="360" w:lineRule="auto"/>
        <w:ind w:left="2778" w:firstLine="2778"/>
        <w:rPr>
          <w:b/>
          <w:color w:val="000000"/>
        </w:rPr>
      </w:pPr>
      <w:r>
        <w:rPr>
          <w:b/>
          <w:color w:val="000000"/>
        </w:rPr>
        <w:t>OU NO CASO DE INCONSISTÊNCIAS</w:t>
      </w:r>
    </w:p>
    <w:p w14:paraId="154E2776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724C89AB" w14:textId="77777777" w:rsidR="008F773A" w:rsidRDefault="00551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line="360" w:lineRule="auto"/>
        <w:ind w:right="117"/>
        <w:jc w:val="both"/>
        <w:rPr>
          <w:color w:val="000000"/>
        </w:rPr>
      </w:pPr>
      <w:r>
        <w:rPr>
          <w:color w:val="000000"/>
        </w:rPr>
        <w:t>Tendo em vista o conjunto de evidências apresentadas para os indicadores da amostra, as conclusões das Comissões de Avaliação e de Controle d</w:t>
      </w:r>
      <w:r>
        <w:t>a</w:t>
      </w:r>
      <w:r>
        <w:rPr>
          <w:color w:val="000000"/>
        </w:rPr>
        <w:t xml:space="preserve"> Qualidade foram validadas por esta </w:t>
      </w:r>
      <w:r>
        <w:t>subcomissão da Comissão</w:t>
      </w:r>
      <w:r>
        <w:rPr>
          <w:color w:val="000000"/>
        </w:rPr>
        <w:t xml:space="preserve"> de Garantia d</w:t>
      </w:r>
      <w:r>
        <w:t>a</w:t>
      </w:r>
      <w:r>
        <w:rPr>
          <w:color w:val="000000"/>
        </w:rPr>
        <w:t xml:space="preserve"> Qualidade, exceto as relativas aos critérios relacionados a seguir:</w:t>
      </w:r>
    </w:p>
    <w:p w14:paraId="7D4A60F9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before="7" w:after="1" w:line="360" w:lineRule="auto"/>
        <w:rPr>
          <w:color w:val="000000"/>
        </w:rPr>
      </w:pPr>
    </w:p>
    <w:tbl>
      <w:tblPr>
        <w:tblStyle w:val="2"/>
        <w:tblW w:w="881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35"/>
        <w:gridCol w:w="3241"/>
        <w:gridCol w:w="2127"/>
        <w:gridCol w:w="1417"/>
      </w:tblGrid>
      <w:tr w:rsidR="008F773A" w14:paraId="25AD2CB9" w14:textId="77777777">
        <w:trPr>
          <w:trHeight w:val="855"/>
          <w:tblHeader/>
        </w:trPr>
        <w:tc>
          <w:tcPr>
            <w:tcW w:w="990" w:type="dxa"/>
            <w:shd w:val="clear" w:color="auto" w:fill="9CC3E5"/>
          </w:tcPr>
          <w:p w14:paraId="29773A67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right="2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QATC</w:t>
            </w:r>
          </w:p>
        </w:tc>
        <w:tc>
          <w:tcPr>
            <w:tcW w:w="1035" w:type="dxa"/>
            <w:shd w:val="clear" w:color="auto" w:fill="9CC3E5"/>
          </w:tcPr>
          <w:p w14:paraId="5E084454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Nº</w:t>
            </w:r>
          </w:p>
          <w:p w14:paraId="7E322C38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</w:t>
            </w:r>
          </w:p>
        </w:tc>
        <w:tc>
          <w:tcPr>
            <w:tcW w:w="3241" w:type="dxa"/>
            <w:shd w:val="clear" w:color="auto" w:fill="9CC3E5"/>
          </w:tcPr>
          <w:p w14:paraId="65D75B26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Texto Critério</w:t>
            </w:r>
          </w:p>
        </w:tc>
        <w:tc>
          <w:tcPr>
            <w:tcW w:w="2127" w:type="dxa"/>
            <w:shd w:val="clear" w:color="auto" w:fill="9CC3E5"/>
          </w:tcPr>
          <w:p w14:paraId="11D0B5EC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right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Avaliação TC (CCQ)</w:t>
            </w:r>
          </w:p>
          <w:p w14:paraId="0EDFCE8B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Atende?</w:t>
            </w:r>
          </w:p>
        </w:tc>
        <w:tc>
          <w:tcPr>
            <w:tcW w:w="1417" w:type="dxa"/>
            <w:shd w:val="clear" w:color="auto" w:fill="9CC3E5"/>
          </w:tcPr>
          <w:p w14:paraId="3B0359A0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right="-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Avaliação CGQ</w:t>
            </w:r>
          </w:p>
          <w:p w14:paraId="0A9232A2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Atende?</w:t>
            </w:r>
          </w:p>
        </w:tc>
      </w:tr>
      <w:tr w:rsidR="008F773A" w14:paraId="334435F4" w14:textId="77777777">
        <w:trPr>
          <w:trHeight w:val="418"/>
        </w:trPr>
        <w:tc>
          <w:tcPr>
            <w:tcW w:w="990" w:type="dxa"/>
          </w:tcPr>
          <w:p w14:paraId="7F996DB3" w14:textId="77777777" w:rsidR="008F773A" w:rsidRDefault="008F773A">
            <w:pPr>
              <w:spacing w:line="360" w:lineRule="auto"/>
            </w:pPr>
          </w:p>
        </w:tc>
        <w:tc>
          <w:tcPr>
            <w:tcW w:w="1035" w:type="dxa"/>
          </w:tcPr>
          <w:p w14:paraId="3C126A95" w14:textId="77777777" w:rsidR="008F773A" w:rsidRDefault="008F773A">
            <w:pPr>
              <w:spacing w:line="360" w:lineRule="auto"/>
            </w:pPr>
          </w:p>
        </w:tc>
        <w:tc>
          <w:tcPr>
            <w:tcW w:w="3241" w:type="dxa"/>
          </w:tcPr>
          <w:p w14:paraId="298FA807" w14:textId="77777777" w:rsidR="008F773A" w:rsidRDefault="008F773A">
            <w:pPr>
              <w:spacing w:line="360" w:lineRule="auto"/>
            </w:pPr>
          </w:p>
        </w:tc>
        <w:tc>
          <w:tcPr>
            <w:tcW w:w="2127" w:type="dxa"/>
          </w:tcPr>
          <w:p w14:paraId="072DDC7A" w14:textId="77777777" w:rsidR="008F773A" w:rsidRDefault="008F773A">
            <w:pPr>
              <w:spacing w:line="360" w:lineRule="auto"/>
            </w:pPr>
          </w:p>
        </w:tc>
        <w:tc>
          <w:tcPr>
            <w:tcW w:w="1417" w:type="dxa"/>
          </w:tcPr>
          <w:p w14:paraId="056FF630" w14:textId="77777777" w:rsidR="008F773A" w:rsidRDefault="008F773A">
            <w:pPr>
              <w:spacing w:line="360" w:lineRule="auto"/>
            </w:pPr>
          </w:p>
        </w:tc>
      </w:tr>
      <w:tr w:rsidR="008F773A" w14:paraId="20AE4045" w14:textId="77777777">
        <w:trPr>
          <w:trHeight w:val="418"/>
        </w:trPr>
        <w:tc>
          <w:tcPr>
            <w:tcW w:w="990" w:type="dxa"/>
          </w:tcPr>
          <w:p w14:paraId="5AD6930D" w14:textId="77777777" w:rsidR="008F773A" w:rsidRDefault="008F773A">
            <w:pPr>
              <w:spacing w:line="360" w:lineRule="auto"/>
            </w:pPr>
          </w:p>
        </w:tc>
        <w:tc>
          <w:tcPr>
            <w:tcW w:w="1035" w:type="dxa"/>
          </w:tcPr>
          <w:p w14:paraId="74D44983" w14:textId="77777777" w:rsidR="008F773A" w:rsidRDefault="008F773A">
            <w:pPr>
              <w:spacing w:line="360" w:lineRule="auto"/>
            </w:pPr>
          </w:p>
        </w:tc>
        <w:tc>
          <w:tcPr>
            <w:tcW w:w="3241" w:type="dxa"/>
          </w:tcPr>
          <w:p w14:paraId="0F152718" w14:textId="77777777" w:rsidR="008F773A" w:rsidRDefault="008F773A">
            <w:pPr>
              <w:spacing w:line="360" w:lineRule="auto"/>
            </w:pPr>
          </w:p>
        </w:tc>
        <w:tc>
          <w:tcPr>
            <w:tcW w:w="2127" w:type="dxa"/>
          </w:tcPr>
          <w:p w14:paraId="39898AFA" w14:textId="77777777" w:rsidR="008F773A" w:rsidRDefault="008F773A">
            <w:pPr>
              <w:spacing w:line="360" w:lineRule="auto"/>
            </w:pPr>
          </w:p>
        </w:tc>
        <w:tc>
          <w:tcPr>
            <w:tcW w:w="1417" w:type="dxa"/>
          </w:tcPr>
          <w:p w14:paraId="6CA568B1" w14:textId="77777777" w:rsidR="008F773A" w:rsidRDefault="008F773A">
            <w:pPr>
              <w:spacing w:line="360" w:lineRule="auto"/>
            </w:pPr>
          </w:p>
        </w:tc>
      </w:tr>
    </w:tbl>
    <w:p w14:paraId="57E4552E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color w:val="000000"/>
        </w:rPr>
      </w:pPr>
    </w:p>
    <w:p w14:paraId="6DA4B5CD" w14:textId="77777777" w:rsidR="008F773A" w:rsidRDefault="00551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56" w:line="360" w:lineRule="auto"/>
        <w:ind w:right="122"/>
        <w:jc w:val="both"/>
        <w:rPr>
          <w:color w:val="000000"/>
        </w:rPr>
      </w:pPr>
      <w:r>
        <w:rPr>
          <w:color w:val="000000"/>
        </w:rPr>
        <w:t>Dentre as boas práticas apresentadas pelo TC, conforme orientações do Manual de Procedimentos do MMD- TC, sugere-se à Atricon o registro e a divulgação das relacionadas a seguir:</w:t>
      </w:r>
    </w:p>
    <w:p w14:paraId="62DF6F7C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before="10" w:after="1" w:line="360" w:lineRule="auto"/>
        <w:rPr>
          <w:color w:val="000000"/>
        </w:rPr>
      </w:pPr>
    </w:p>
    <w:tbl>
      <w:tblPr>
        <w:tblStyle w:val="1"/>
        <w:tblW w:w="8758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0"/>
        <w:gridCol w:w="1948"/>
      </w:tblGrid>
      <w:tr w:rsidR="008F773A" w14:paraId="6EEC924A" w14:textId="77777777">
        <w:trPr>
          <w:trHeight w:val="413"/>
        </w:trPr>
        <w:tc>
          <w:tcPr>
            <w:tcW w:w="6810" w:type="dxa"/>
            <w:shd w:val="clear" w:color="auto" w:fill="9CC3E5"/>
          </w:tcPr>
          <w:p w14:paraId="30C4C52F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boas práticas</w:t>
            </w:r>
          </w:p>
        </w:tc>
        <w:tc>
          <w:tcPr>
            <w:tcW w:w="1948" w:type="dxa"/>
            <w:shd w:val="clear" w:color="auto" w:fill="9CC3E5"/>
          </w:tcPr>
          <w:p w14:paraId="07CD6D73" w14:textId="77777777" w:rsidR="008F773A" w:rsidRDefault="005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Indicadores associados</w:t>
            </w:r>
          </w:p>
        </w:tc>
      </w:tr>
      <w:tr w:rsidR="008F773A" w14:paraId="5EC3A80A" w14:textId="77777777">
        <w:trPr>
          <w:trHeight w:val="413"/>
        </w:trPr>
        <w:tc>
          <w:tcPr>
            <w:tcW w:w="6810" w:type="dxa"/>
          </w:tcPr>
          <w:p w14:paraId="04B525F6" w14:textId="77777777" w:rsidR="008F773A" w:rsidRDefault="008F773A">
            <w:pPr>
              <w:spacing w:line="360" w:lineRule="auto"/>
            </w:pPr>
          </w:p>
        </w:tc>
        <w:tc>
          <w:tcPr>
            <w:tcW w:w="1948" w:type="dxa"/>
          </w:tcPr>
          <w:p w14:paraId="347DF242" w14:textId="77777777" w:rsidR="008F773A" w:rsidRDefault="008F773A">
            <w:pPr>
              <w:spacing w:line="360" w:lineRule="auto"/>
            </w:pPr>
          </w:p>
        </w:tc>
      </w:tr>
      <w:tr w:rsidR="008F773A" w14:paraId="3242BB4B" w14:textId="77777777">
        <w:trPr>
          <w:trHeight w:val="413"/>
        </w:trPr>
        <w:tc>
          <w:tcPr>
            <w:tcW w:w="6810" w:type="dxa"/>
          </w:tcPr>
          <w:p w14:paraId="13126E36" w14:textId="77777777" w:rsidR="008F773A" w:rsidRDefault="008F773A">
            <w:pPr>
              <w:spacing w:line="360" w:lineRule="auto"/>
            </w:pPr>
          </w:p>
        </w:tc>
        <w:tc>
          <w:tcPr>
            <w:tcW w:w="1948" w:type="dxa"/>
          </w:tcPr>
          <w:p w14:paraId="451ADAA5" w14:textId="77777777" w:rsidR="008F773A" w:rsidRDefault="008F773A">
            <w:pPr>
              <w:spacing w:line="360" w:lineRule="auto"/>
            </w:pPr>
          </w:p>
        </w:tc>
      </w:tr>
    </w:tbl>
    <w:p w14:paraId="4517ED6F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color w:val="000000"/>
        </w:rPr>
      </w:pPr>
    </w:p>
    <w:p w14:paraId="41FC9636" w14:textId="77777777" w:rsidR="008F773A" w:rsidRDefault="00551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56" w:line="360" w:lineRule="auto"/>
        <w:jc w:val="both"/>
        <w:rPr>
          <w:color w:val="000000"/>
        </w:rPr>
      </w:pPr>
      <w:r>
        <w:rPr>
          <w:color w:val="000000"/>
        </w:rPr>
        <w:lastRenderedPageBreak/>
        <w:t>Ao final do processo de garantia d</w:t>
      </w:r>
      <w:r>
        <w:t>a</w:t>
      </w:r>
      <w:r>
        <w:rPr>
          <w:color w:val="000000"/>
        </w:rPr>
        <w:t xml:space="preserve"> qualidade, apresentam-se as seguintes recomendações:</w:t>
      </w:r>
    </w:p>
    <w:p w14:paraId="121B7C1F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before="134" w:line="360" w:lineRule="auto"/>
        <w:ind w:left="829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ab/>
        <w:t>Ao TC:</w:t>
      </w:r>
    </w:p>
    <w:p w14:paraId="43757752" w14:textId="77777777" w:rsidR="008F773A" w:rsidRDefault="005515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</w:tabs>
        <w:spacing w:before="134" w:line="360" w:lineRule="auto"/>
        <w:jc w:val="both"/>
      </w:pPr>
      <w:r>
        <w:rPr>
          <w:color w:val="000000"/>
        </w:rPr>
        <w:t>(relacionar)</w:t>
      </w:r>
    </w:p>
    <w:p w14:paraId="0C6F5843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2699C328" w14:textId="77777777" w:rsidR="008F773A" w:rsidRDefault="005515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spacing w:line="360" w:lineRule="auto"/>
        <w:jc w:val="both"/>
      </w:pPr>
      <w:r>
        <w:rPr>
          <w:color w:val="000000"/>
        </w:rPr>
        <w:t>À Atricon:</w:t>
      </w:r>
    </w:p>
    <w:p w14:paraId="73E08D93" w14:textId="77777777" w:rsidR="008F773A" w:rsidRDefault="0055153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6"/>
        </w:tabs>
        <w:spacing w:before="134" w:line="360" w:lineRule="auto"/>
        <w:jc w:val="both"/>
      </w:pPr>
      <w:r>
        <w:rPr>
          <w:color w:val="000000"/>
        </w:rPr>
        <w:t>(relacionar)</w:t>
      </w:r>
    </w:p>
    <w:p w14:paraId="08A43B83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F8BD4DA" w14:textId="77777777" w:rsidR="008F773A" w:rsidRDefault="00551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line="360" w:lineRule="auto"/>
        <w:ind w:right="118"/>
        <w:jc w:val="both"/>
        <w:rPr>
          <w:color w:val="000000"/>
        </w:rPr>
      </w:pPr>
      <w:r>
        <w:rPr>
          <w:color w:val="000000"/>
        </w:rPr>
        <w:t xml:space="preserve">Todas as conclusões registradas neste documento foram previamente discutidas e acordadas com os representantes da Comissão de </w:t>
      </w:r>
      <w:r>
        <w:t xml:space="preserve">Controle da Qualidade </w:t>
      </w:r>
      <w:r>
        <w:rPr>
          <w:color w:val="000000"/>
        </w:rPr>
        <w:t>do TC.</w:t>
      </w:r>
    </w:p>
    <w:p w14:paraId="527174E1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659DB2BA" w14:textId="77777777" w:rsidR="008F773A" w:rsidRDefault="00551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7359"/>
        </w:tabs>
        <w:spacing w:before="5" w:line="360" w:lineRule="auto"/>
        <w:ind w:right="114"/>
        <w:jc w:val="both"/>
        <w:rPr>
          <w:color w:val="000000"/>
        </w:rPr>
      </w:pPr>
      <w:r>
        <w:rPr>
          <w:color w:val="000000"/>
        </w:rPr>
        <w:t xml:space="preserve"> Considerando a adequação dos processos de avaliação e de controle d</w:t>
      </w:r>
      <w:r>
        <w:t>a</w:t>
      </w:r>
      <w:r>
        <w:rPr>
          <w:color w:val="000000"/>
        </w:rPr>
        <w:t xml:space="preserve"> qualidade, bem como a suficiência das evidências apresentadas para os indicadores constantes da amostra analisada, </w:t>
      </w:r>
    </w:p>
    <w:p w14:paraId="6DDE8559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2" w:hanging="283"/>
        <w:jc w:val="both"/>
        <w:rPr>
          <w:color w:val="000000"/>
        </w:rPr>
      </w:pPr>
    </w:p>
    <w:p w14:paraId="0CAEAA3C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7359"/>
        </w:tabs>
        <w:spacing w:before="5" w:line="360" w:lineRule="auto"/>
        <w:ind w:left="402" w:right="114"/>
        <w:jc w:val="both"/>
        <w:rPr>
          <w:b/>
          <w:color w:val="000000"/>
        </w:rPr>
      </w:pPr>
      <w:r>
        <w:rPr>
          <w:b/>
          <w:color w:val="000000"/>
        </w:rPr>
        <w:t xml:space="preserve">DECLARAMOS   </w:t>
      </w:r>
    </w:p>
    <w:p w14:paraId="23C57FDD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7359"/>
        </w:tabs>
        <w:spacing w:before="5" w:line="360" w:lineRule="auto"/>
        <w:ind w:left="402" w:right="114"/>
        <w:jc w:val="both"/>
        <w:rPr>
          <w:color w:val="000000"/>
        </w:rPr>
      </w:pPr>
    </w:p>
    <w:p w14:paraId="6AC7005F" w14:textId="7D31A2AB" w:rsidR="008F773A" w:rsidRDefault="00551537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7359"/>
        </w:tabs>
        <w:spacing w:before="5" w:line="360" w:lineRule="auto"/>
        <w:ind w:left="402" w:right="114"/>
        <w:jc w:val="both"/>
        <w:rPr>
          <w:color w:val="000000"/>
        </w:rPr>
      </w:pPr>
      <w:r>
        <w:rPr>
          <w:color w:val="000000"/>
        </w:rPr>
        <w:t>que</w:t>
      </w:r>
      <w:r>
        <w:rPr>
          <w:color w:val="000000"/>
        </w:rPr>
        <w:t xml:space="preserve"> a </w:t>
      </w:r>
      <w:r>
        <w:rPr>
          <w:color w:val="000000"/>
        </w:rPr>
        <w:t>avaliação</w:t>
      </w:r>
      <w:r>
        <w:rPr>
          <w:color w:val="000000"/>
        </w:rPr>
        <w:t xml:space="preserve"> de</w:t>
      </w:r>
      <w:r>
        <w:rPr>
          <w:color w:val="000000"/>
        </w:rPr>
        <w:t xml:space="preserve"> desempenho</w:t>
      </w:r>
      <w:r>
        <w:rPr>
          <w:color w:val="000000"/>
        </w:rPr>
        <w:t xml:space="preserve"> do </w:t>
      </w:r>
      <w:r>
        <w:rPr>
          <w:color w:val="000000"/>
        </w:rPr>
        <w:t>TC ocorreu</w:t>
      </w:r>
      <w:r>
        <w:rPr>
          <w:color w:val="000000"/>
        </w:rPr>
        <w:t xml:space="preserve"> em conformidade com o que dispõe o Manual de </w:t>
      </w:r>
      <w:r>
        <w:t xml:space="preserve">Procedimentos </w:t>
      </w:r>
      <w:r>
        <w:rPr>
          <w:color w:val="000000"/>
        </w:rPr>
        <w:t>do MMD-TC – ciclo ______.</w:t>
      </w:r>
    </w:p>
    <w:p w14:paraId="6F663A77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19"/>
        <w:rPr>
          <w:color w:val="000000"/>
        </w:rPr>
      </w:pPr>
    </w:p>
    <w:p w14:paraId="3FDDCE1B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19"/>
        <w:jc w:val="right"/>
        <w:rPr>
          <w:color w:val="000000"/>
        </w:rPr>
      </w:pPr>
      <w:r>
        <w:rPr>
          <w:color w:val="000000"/>
        </w:rPr>
        <w:t>Local, data.</w:t>
      </w:r>
    </w:p>
    <w:p w14:paraId="3B38CAC9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CC846DB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jc w:val="center"/>
        <w:rPr>
          <w:color w:val="000000"/>
        </w:rPr>
      </w:pPr>
      <w:r>
        <w:rPr>
          <w:color w:val="000000"/>
        </w:rPr>
        <w:t>Nomes e assinaturas dos membros da subcomissão da Comissão de Garantia d</w:t>
      </w:r>
      <w:r>
        <w:t>a</w:t>
      </w:r>
      <w:r>
        <w:rPr>
          <w:color w:val="000000"/>
        </w:rPr>
        <w:t xml:space="preserve"> Qualidade</w:t>
      </w:r>
    </w:p>
    <w:p w14:paraId="7A52FE1F" w14:textId="77777777" w:rsidR="008F773A" w:rsidRDefault="00551537">
      <w:p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jc w:val="center"/>
      </w:pPr>
      <w:r>
        <w:rPr>
          <w:color w:val="000000"/>
        </w:rPr>
        <w:t xml:space="preserve"> </w:t>
      </w:r>
      <w:r>
        <w:t>(os observadores não assinam)</w:t>
      </w:r>
    </w:p>
    <w:p w14:paraId="5CEBDECD" w14:textId="77777777" w:rsidR="008F773A" w:rsidRDefault="008F773A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color w:val="000000"/>
        </w:rPr>
      </w:pPr>
    </w:p>
    <w:sectPr w:rsidR="008F773A">
      <w:headerReference w:type="default" r:id="rId8"/>
      <w:footerReference w:type="default" r:id="rId9"/>
      <w:pgSz w:w="11900" w:h="16840"/>
      <w:pgMar w:top="2835" w:right="1134" w:bottom="1701" w:left="1701" w:header="70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6293" w14:textId="77777777" w:rsidR="00551537" w:rsidRDefault="00551537">
      <w:r>
        <w:separator/>
      </w:r>
    </w:p>
  </w:endnote>
  <w:endnote w:type="continuationSeparator" w:id="0">
    <w:p w14:paraId="3340E847" w14:textId="77777777" w:rsidR="00551537" w:rsidRDefault="005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2625" w14:textId="77777777" w:rsidR="008F773A" w:rsidRDefault="005515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14:paraId="7FBE1B00" w14:textId="77777777" w:rsidR="008F773A" w:rsidRDefault="005515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8"/>
        <w:szCs w:val="18"/>
        <w:highlight w:val="white"/>
      </w:rPr>
    </w:pPr>
    <w:r>
      <w:rPr>
        <w:color w:val="000000"/>
        <w:sz w:val="18"/>
        <w:szCs w:val="18"/>
        <w:highlight w:val="white"/>
      </w:rPr>
      <w:t xml:space="preserve">Versão </w:t>
    </w:r>
    <w:r>
      <w:rPr>
        <w:sz w:val="18"/>
        <w:szCs w:val="18"/>
        <w:highlight w:val="white"/>
      </w:rPr>
      <w:t>1</w:t>
    </w:r>
    <w:r>
      <w:rPr>
        <w:color w:val="000000"/>
        <w:sz w:val="18"/>
        <w:szCs w:val="18"/>
        <w:highlight w:val="white"/>
      </w:rPr>
      <w:t xml:space="preserve">.00 de </w:t>
    </w:r>
    <w:r>
      <w:rPr>
        <w:sz w:val="18"/>
        <w:szCs w:val="18"/>
        <w:highlight w:val="white"/>
      </w:rPr>
      <w:t>11/03/2024</w:t>
    </w:r>
  </w:p>
  <w:p w14:paraId="3B1ECCBB" w14:textId="77777777" w:rsidR="008F773A" w:rsidRDefault="008F77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2087" w14:textId="77777777" w:rsidR="00551537" w:rsidRDefault="00551537">
      <w:r>
        <w:separator/>
      </w:r>
    </w:p>
  </w:footnote>
  <w:footnote w:type="continuationSeparator" w:id="0">
    <w:p w14:paraId="6176DEE5" w14:textId="77777777" w:rsidR="00551537" w:rsidRDefault="0055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AA8F" w14:textId="77777777" w:rsidR="008F773A" w:rsidRDefault="0055153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t>‘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73A64B5" wp14:editId="56364161">
          <wp:simplePos x="0" y="0"/>
          <wp:positionH relativeFrom="column">
            <wp:posOffset>0</wp:posOffset>
          </wp:positionH>
          <wp:positionV relativeFrom="paragraph">
            <wp:posOffset>-387348</wp:posOffset>
          </wp:positionV>
          <wp:extent cx="7585075" cy="10724515"/>
          <wp:effectExtent l="0" t="0" r="0" b="0"/>
          <wp:wrapNone/>
          <wp:docPr id="156608557" name="image1.png" descr="Uma imagem contendo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Aplicativ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5075" cy="1072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D5C"/>
    <w:multiLevelType w:val="multilevel"/>
    <w:tmpl w:val="11AEAC76"/>
    <w:lvl w:ilvl="0">
      <w:start w:val="6"/>
      <w:numFmt w:val="decimal"/>
      <w:lvlText w:val="%1."/>
      <w:lvlJc w:val="left"/>
      <w:pPr>
        <w:ind w:left="402" w:hanging="28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34" w:hanging="284"/>
      </w:pPr>
    </w:lvl>
    <w:lvl w:ilvl="2">
      <w:numFmt w:val="bullet"/>
      <w:lvlText w:val="•"/>
      <w:lvlJc w:val="left"/>
      <w:pPr>
        <w:ind w:left="2068" w:hanging="284"/>
      </w:pPr>
    </w:lvl>
    <w:lvl w:ilvl="3">
      <w:numFmt w:val="bullet"/>
      <w:lvlText w:val="•"/>
      <w:lvlJc w:val="left"/>
      <w:pPr>
        <w:ind w:left="2902" w:hanging="284"/>
      </w:pPr>
    </w:lvl>
    <w:lvl w:ilvl="4">
      <w:numFmt w:val="bullet"/>
      <w:lvlText w:val="•"/>
      <w:lvlJc w:val="left"/>
      <w:pPr>
        <w:ind w:left="3736" w:hanging="283"/>
      </w:pPr>
    </w:lvl>
    <w:lvl w:ilvl="5">
      <w:numFmt w:val="bullet"/>
      <w:lvlText w:val="•"/>
      <w:lvlJc w:val="left"/>
      <w:pPr>
        <w:ind w:left="4570" w:hanging="284"/>
      </w:pPr>
    </w:lvl>
    <w:lvl w:ilvl="6">
      <w:numFmt w:val="bullet"/>
      <w:lvlText w:val="•"/>
      <w:lvlJc w:val="left"/>
      <w:pPr>
        <w:ind w:left="5404" w:hanging="284"/>
      </w:pPr>
    </w:lvl>
    <w:lvl w:ilvl="7">
      <w:numFmt w:val="bullet"/>
      <w:lvlText w:val="•"/>
      <w:lvlJc w:val="left"/>
      <w:pPr>
        <w:ind w:left="6238" w:hanging="284"/>
      </w:pPr>
    </w:lvl>
    <w:lvl w:ilvl="8">
      <w:numFmt w:val="bullet"/>
      <w:lvlText w:val="•"/>
      <w:lvlJc w:val="left"/>
      <w:pPr>
        <w:ind w:left="7072" w:hanging="282"/>
      </w:pPr>
    </w:lvl>
  </w:abstractNum>
  <w:abstractNum w:abstractNumId="1" w15:restartNumberingAfterBreak="0">
    <w:nsid w:val="2E6A5A93"/>
    <w:multiLevelType w:val="multilevel"/>
    <w:tmpl w:val="F7A4D918"/>
    <w:lvl w:ilvl="0">
      <w:start w:val="10"/>
      <w:numFmt w:val="decimal"/>
      <w:lvlText w:val="%1"/>
      <w:lvlJc w:val="left"/>
      <w:pPr>
        <w:ind w:left="1559" w:hanging="730"/>
      </w:pPr>
    </w:lvl>
    <w:lvl w:ilvl="1">
      <w:start w:val="2"/>
      <w:numFmt w:val="decimal"/>
      <w:lvlText w:val="%1.%2"/>
      <w:lvlJc w:val="left"/>
      <w:pPr>
        <w:ind w:left="1559" w:hanging="73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."/>
      <w:lvlJc w:val="left"/>
      <w:pPr>
        <w:ind w:left="1535" w:hanging="360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3155" w:hanging="360"/>
      </w:pPr>
    </w:lvl>
    <w:lvl w:ilvl="4">
      <w:numFmt w:val="bullet"/>
      <w:lvlText w:val="•"/>
      <w:lvlJc w:val="left"/>
      <w:pPr>
        <w:ind w:left="3953" w:hanging="360"/>
      </w:pPr>
    </w:lvl>
    <w:lvl w:ilvl="5">
      <w:numFmt w:val="bullet"/>
      <w:lvlText w:val="•"/>
      <w:lvlJc w:val="left"/>
      <w:pPr>
        <w:ind w:left="4751" w:hanging="360"/>
      </w:pPr>
    </w:lvl>
    <w:lvl w:ilvl="6">
      <w:numFmt w:val="bullet"/>
      <w:lvlText w:val="•"/>
      <w:lvlJc w:val="left"/>
      <w:pPr>
        <w:ind w:left="5548" w:hanging="360"/>
      </w:pPr>
    </w:lvl>
    <w:lvl w:ilvl="7">
      <w:numFmt w:val="bullet"/>
      <w:lvlText w:val="•"/>
      <w:lvlJc w:val="left"/>
      <w:pPr>
        <w:ind w:left="6346" w:hanging="360"/>
      </w:pPr>
    </w:lvl>
    <w:lvl w:ilvl="8">
      <w:numFmt w:val="bullet"/>
      <w:lvlText w:val="•"/>
      <w:lvlJc w:val="left"/>
      <w:pPr>
        <w:ind w:left="7144" w:hanging="360"/>
      </w:pPr>
    </w:lvl>
  </w:abstractNum>
  <w:abstractNum w:abstractNumId="2" w15:restartNumberingAfterBreak="0">
    <w:nsid w:val="70EC6EB3"/>
    <w:multiLevelType w:val="multilevel"/>
    <w:tmpl w:val="51FC9864"/>
    <w:lvl w:ilvl="0">
      <w:start w:val="1"/>
      <w:numFmt w:val="decimal"/>
      <w:lvlText w:val="%1."/>
      <w:lvlJc w:val="left"/>
      <w:pPr>
        <w:ind w:left="402" w:hanging="2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839" w:hanging="358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717" w:hanging="360"/>
      </w:pPr>
    </w:lvl>
    <w:lvl w:ilvl="3">
      <w:numFmt w:val="bullet"/>
      <w:lvlText w:val="•"/>
      <w:lvlJc w:val="left"/>
      <w:pPr>
        <w:ind w:left="2595" w:hanging="360"/>
      </w:pPr>
    </w:lvl>
    <w:lvl w:ilvl="4">
      <w:numFmt w:val="bullet"/>
      <w:lvlText w:val="•"/>
      <w:lvlJc w:val="left"/>
      <w:pPr>
        <w:ind w:left="3473" w:hanging="360"/>
      </w:pPr>
    </w:lvl>
    <w:lvl w:ilvl="5">
      <w:numFmt w:val="bullet"/>
      <w:lvlText w:val="•"/>
      <w:lvlJc w:val="left"/>
      <w:pPr>
        <w:ind w:left="4351" w:hanging="360"/>
      </w:pPr>
    </w:lvl>
    <w:lvl w:ilvl="6">
      <w:numFmt w:val="bullet"/>
      <w:lvlText w:val="•"/>
      <w:lvlJc w:val="left"/>
      <w:pPr>
        <w:ind w:left="5228" w:hanging="360"/>
      </w:pPr>
    </w:lvl>
    <w:lvl w:ilvl="7">
      <w:numFmt w:val="bullet"/>
      <w:lvlText w:val="•"/>
      <w:lvlJc w:val="left"/>
      <w:pPr>
        <w:ind w:left="6106" w:hanging="360"/>
      </w:pPr>
    </w:lvl>
    <w:lvl w:ilvl="8">
      <w:numFmt w:val="bullet"/>
      <w:lvlText w:val="•"/>
      <w:lvlJc w:val="left"/>
      <w:pPr>
        <w:ind w:left="6984" w:hanging="360"/>
      </w:pPr>
    </w:lvl>
  </w:abstractNum>
  <w:abstractNum w:abstractNumId="3" w15:restartNumberingAfterBreak="0">
    <w:nsid w:val="73165E67"/>
    <w:multiLevelType w:val="multilevel"/>
    <w:tmpl w:val="B8F88992"/>
    <w:lvl w:ilvl="0">
      <w:start w:val="8"/>
      <w:numFmt w:val="decimal"/>
      <w:lvlText w:val="%1."/>
      <w:lvlJc w:val="left"/>
      <w:pPr>
        <w:ind w:left="402" w:hanging="2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535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2457" w:hanging="360"/>
      </w:pPr>
    </w:lvl>
    <w:lvl w:ilvl="4">
      <w:numFmt w:val="bullet"/>
      <w:lvlText w:val="•"/>
      <w:lvlJc w:val="left"/>
      <w:pPr>
        <w:ind w:left="3355" w:hanging="360"/>
      </w:pPr>
    </w:lvl>
    <w:lvl w:ilvl="5">
      <w:numFmt w:val="bullet"/>
      <w:lvlText w:val="•"/>
      <w:lvlJc w:val="left"/>
      <w:pPr>
        <w:ind w:left="4252" w:hanging="360"/>
      </w:pPr>
    </w:lvl>
    <w:lvl w:ilvl="6">
      <w:numFmt w:val="bullet"/>
      <w:lvlText w:val="•"/>
      <w:lvlJc w:val="left"/>
      <w:pPr>
        <w:ind w:left="5150" w:hanging="360"/>
      </w:pPr>
    </w:lvl>
    <w:lvl w:ilvl="7">
      <w:numFmt w:val="bullet"/>
      <w:lvlText w:val="•"/>
      <w:lvlJc w:val="left"/>
      <w:pPr>
        <w:ind w:left="6047" w:hanging="360"/>
      </w:pPr>
    </w:lvl>
    <w:lvl w:ilvl="8">
      <w:numFmt w:val="bullet"/>
      <w:lvlText w:val="•"/>
      <w:lvlJc w:val="left"/>
      <w:pPr>
        <w:ind w:left="6945" w:hanging="360"/>
      </w:pPr>
    </w:lvl>
  </w:abstractNum>
  <w:num w:numId="1" w16cid:durableId="1511721351">
    <w:abstractNumId w:val="3"/>
  </w:num>
  <w:num w:numId="2" w16cid:durableId="2129425637">
    <w:abstractNumId w:val="0"/>
  </w:num>
  <w:num w:numId="3" w16cid:durableId="1752774019">
    <w:abstractNumId w:val="2"/>
  </w:num>
  <w:num w:numId="4" w16cid:durableId="34217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3A"/>
    <w:rsid w:val="00551537"/>
    <w:rsid w:val="008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450A"/>
  <w15:docId w15:val="{D2983910-83FA-4E9C-B3EE-5FC43D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6"/>
      <w:ind w:left="277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2" w:hanging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5B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5BBC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5BB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85B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BB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85B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BBC"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2"/>
    <w:tblPr>
      <w:tblStyleRowBandSize w:val="1"/>
      <w:tblStyleColBandSize w:val="1"/>
    </w:tblPr>
  </w:style>
  <w:style w:type="table" w:customStyle="1" w:styleId="7">
    <w:name w:val="7"/>
    <w:basedOn w:val="TableNormal2"/>
    <w:tblPr>
      <w:tblStyleRowBandSize w:val="1"/>
      <w:tblStyleColBandSize w:val="1"/>
    </w:tblPr>
  </w:style>
  <w:style w:type="table" w:customStyle="1" w:styleId="6">
    <w:name w:val="6"/>
    <w:basedOn w:val="TableNormal2"/>
    <w:tblPr>
      <w:tblStyleRowBandSize w:val="1"/>
      <w:tblStyleColBandSize w:val="1"/>
    </w:tblPr>
  </w:style>
  <w:style w:type="table" w:customStyle="1" w:styleId="5">
    <w:name w:val="5"/>
    <w:basedOn w:val="TableNormal2"/>
    <w:tblPr>
      <w:tblStyleRowBandSize w:val="1"/>
      <w:tblStyleColBandSize w:val="1"/>
    </w:tblPr>
  </w:style>
  <w:style w:type="table" w:customStyle="1" w:styleId="4">
    <w:name w:val="4"/>
    <w:basedOn w:val="TableNormal2"/>
    <w:tblPr>
      <w:tblStyleRowBandSize w:val="1"/>
      <w:tblStyleColBandSize w:val="1"/>
    </w:tblPr>
  </w:style>
  <w:style w:type="table" w:customStyle="1" w:styleId="3">
    <w:name w:val="3"/>
    <w:basedOn w:val="TableNormal2"/>
    <w:tblPr>
      <w:tblStyleRowBandSize w:val="1"/>
      <w:tblStyleColBandSize w:val="1"/>
    </w:tblPr>
  </w:style>
  <w:style w:type="table" w:customStyle="1" w:styleId="2">
    <w:name w:val="2"/>
    <w:basedOn w:val="TableNormal2"/>
    <w:tblPr>
      <w:tblStyleRowBandSize w:val="1"/>
      <w:tblStyleColBandSize w:val="1"/>
    </w:tblPr>
  </w:style>
  <w:style w:type="table" w:customStyle="1" w:styleId="1">
    <w:name w:val="1"/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YSV/IBe1C8mjo+7ir+8S2IehLQ==">CgMxLjA4AHIhMVpkZkxnbG1yNDFjeHF5OUFHVEY5ZDE3T1RnMExRSWxH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jandrade</dc:creator>
  <cp:lastModifiedBy>Fernanda Nunes</cp:lastModifiedBy>
  <cp:revision>1</cp:revision>
  <dcterms:created xsi:type="dcterms:W3CDTF">2023-10-24T23:27:00Z</dcterms:created>
  <dcterms:modified xsi:type="dcterms:W3CDTF">2024-04-02T18:03:00Z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Bullzip PDF Printer (11.7.0.2716)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0x01010000D8745AC4177D4DB8D087C34DB23B68</vt:lpwstr>
  </property>
</Properties>
</file>