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MMD-TC Nº 14/2024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230"/>
        <w:tblGridChange w:id="0">
          <w:tblGrid>
            <w:gridCol w:w="1696"/>
            <w:gridCol w:w="72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Portaria da Comissão de Representantes dos TCs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Atricon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Via Sistema Aprimore</w:t>
            </w:r>
          </w:p>
        </w:tc>
      </w:tr>
    </w:tbl>
    <w:p w:rsidR="00000000" w:rsidDel="00000000" w:rsidP="00000000" w:rsidRDefault="00000000" w:rsidRPr="00000000" w14:paraId="0000000B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5" w:line="360" w:lineRule="auto"/>
        <w:jc w:val="center"/>
        <w:rPr>
          <w:b w:val="1"/>
          <w:color w:val="000000"/>
          <w:highlight w:val="yellow"/>
        </w:rPr>
      </w:pPr>
      <w:r w:rsidDel="00000000" w:rsidR="00000000" w:rsidRPr="00000000">
        <w:rPr>
          <w:b w:val="1"/>
          <w:color w:val="000000"/>
          <w:rtl w:val="0"/>
        </w:rPr>
        <w:t xml:space="preserve">PORTARIA Nº__,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b w:val="1"/>
          <w:color w:val="000000"/>
          <w:rtl w:val="0"/>
        </w:rPr>
        <w:t xml:space="preserve"> __ DE ___________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b w:val="1"/>
          <w:color w:val="000000"/>
          <w:rtl w:val="0"/>
        </w:rPr>
        <w:t xml:space="preserve">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638" w:right="113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Constitui a Comissão de </w:t>
      </w:r>
      <w:r w:rsidDel="00000000" w:rsidR="00000000" w:rsidRPr="00000000">
        <w:rPr>
          <w:rtl w:val="0"/>
        </w:rPr>
        <w:t xml:space="preserve">Representantes dos Tribunais de Contas no âmbito do</w:t>
      </w:r>
      <w:r w:rsidDel="00000000" w:rsidR="00000000" w:rsidRPr="00000000">
        <w:rPr>
          <w:color w:val="000000"/>
          <w:rtl w:val="0"/>
        </w:rPr>
        <w:t xml:space="preserve"> Marco de Medição de Desempenho dos Tribunais de Contas do Brasil – MMD-TC.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O Presidente da Atricon, no exercício das competências associadas aos objetivos dispostos no inciso III do artigo 2º e nos incisos II e IV do artigo 5º do Estatuto da Associação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o Marco de Medição de Desempenho dos Tribunais de Contas do Brasil – MMD-TC, aprovado pela Diretoria e pelo Conselho Deliberativo da Atricon, em reunião no dia 15 de dezembro de 2014, em Brasília-DF, no âmbito do Programa Qualidade e Agilidade dos Tribunais de Contas, implantado em 2013;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o Manual de Procedimentos do MMD-TC e respectivos anexos, com abrangência nacional;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Considerando que o Projeto MMD-TC - que atende à iniciativa 3.8 do Plano Estratégico 2024-2029 da Atricon - integra os Direcionadores Estratégicos da Gestão 2024-2025, aprovados pela Direção da Atricon em reunião realizada no dia 11 de março no TCE-SC.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RESOLVE: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1º Constituir a Comissão de Representantes dos </w:t>
      </w:r>
      <w:r w:rsidDel="00000000" w:rsidR="00000000" w:rsidRPr="00000000">
        <w:rPr>
          <w:rtl w:val="0"/>
        </w:rPr>
        <w:t xml:space="preserve">Tribunais de Contas no âmbito do Marco</w:t>
      </w:r>
      <w:r w:rsidDel="00000000" w:rsidR="00000000" w:rsidRPr="00000000">
        <w:rPr>
          <w:rtl w:val="0"/>
        </w:rPr>
        <w:t xml:space="preserve"> de Medição de Desempenho dos Tribunais de Contas do Brasil – MMD-TC para o ciclo _____, assim integrada: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14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Elencar nomes e TCs de origem: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8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Auditores de Controle Externo.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Parágrafo Único. Compete à Comissão de Representantes dos Tribunais de Contas </w:t>
      </w:r>
      <w:r w:rsidDel="00000000" w:rsidR="00000000" w:rsidRPr="00000000">
        <w:rPr>
          <w:rtl w:val="0"/>
        </w:rPr>
        <w:t xml:space="preserve">atuar como interlocutores entre o respectivo Tribunal de Contas e a Atricon no tratamento de assuntos relacionados ao MMD-TC, bem como realizar as demais atividades elencadas no item 6.6 do Manual de Procedimentos do MMD-TC.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Art. 2º </w:t>
      </w:r>
      <w:r w:rsidDel="00000000" w:rsidR="00000000" w:rsidRPr="00000000">
        <w:rPr>
          <w:rtl w:val="0"/>
        </w:rPr>
        <w:t xml:space="preserve">Revogar a Portaria nº ___/____.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3° Esta Portaria entra em vigor na data da sua publicação.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Nome e assinatura do Presidente da Atricon</w:t>
      </w:r>
    </w:p>
    <w:sectPr>
      <w:headerReference r:id="rId7" w:type="default"/>
      <w:footerReference r:id="rId8" w:type="default"/>
      <w:pgSz w:h="16838" w:w="11906" w:orient="portrait"/>
      <w:pgMar w:bottom="1701" w:top="2835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sz w:val="18"/>
        <w:szCs w:val="18"/>
        <w:highlight w:val="white"/>
      </w:rPr>
    </w:pPr>
    <w:bookmarkStart w:colFirst="0" w:colLast="0" w:name="_heading=h.gjdgxs" w:id="0"/>
    <w:bookmarkEnd w:id="0"/>
    <w:r w:rsidDel="00000000" w:rsidR="00000000" w:rsidRPr="00000000">
      <w:rPr>
        <w:color w:val="000000"/>
        <w:sz w:val="18"/>
        <w:szCs w:val="18"/>
        <w:highlight w:val="white"/>
        <w:rtl w:val="0"/>
      </w:rPr>
      <w:t xml:space="preserve">Versão </w:t>
    </w:r>
    <w:r w:rsidDel="00000000" w:rsidR="00000000" w:rsidRPr="00000000">
      <w:rPr>
        <w:sz w:val="18"/>
        <w:szCs w:val="18"/>
        <w:highlight w:val="white"/>
        <w:rtl w:val="0"/>
      </w:rPr>
      <w:t xml:space="preserve">1</w:t>
    </w:r>
    <w:r w:rsidDel="00000000" w:rsidR="00000000" w:rsidRPr="00000000">
      <w:rPr>
        <w:color w:val="000000"/>
        <w:sz w:val="18"/>
        <w:szCs w:val="18"/>
        <w:highlight w:val="white"/>
        <w:rtl w:val="0"/>
      </w:rPr>
      <w:t xml:space="preserve">.00 de </w:t>
    </w:r>
    <w:r w:rsidDel="00000000" w:rsidR="00000000" w:rsidRPr="00000000">
      <w:rPr>
        <w:sz w:val="18"/>
        <w:szCs w:val="18"/>
        <w:highlight w:val="white"/>
        <w:rtl w:val="0"/>
      </w:rPr>
      <w:t xml:space="preserve">11/03/2024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850" w:hanging="357"/>
      <w:jc w:val="both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850" w:hanging="357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-426083</wp:posOffset>
          </wp:positionV>
          <wp:extent cx="7585075" cy="10724515"/>
          <wp:effectExtent b="0" l="0" r="0" t="0"/>
          <wp:wrapNone/>
          <wp:docPr descr="Uma imagem contendo Aplicativo&#10;&#10;Descrição gerada automaticamente" id="156608557" name="image1.png"/>
          <a:graphic>
            <a:graphicData uri="http://schemas.openxmlformats.org/drawingml/2006/picture">
              <pic:pic>
                <pic:nvPicPr>
                  <pic:cNvPr descr="Uma imagem contendo Aplicativ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075" cy="10724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850" w:hanging="357"/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E7D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  <w:ind w:left="850" w:hanging="357"/>
      <w:jc w:val="both"/>
    </w:pPr>
  </w:style>
  <w:style w:type="character" w:styleId="CabealhoChar" w:customStyle="1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  <w:ind w:left="850" w:hanging="357"/>
      <w:jc w:val="both"/>
    </w:pPr>
  </w:style>
  <w:style w:type="character" w:styleId="RodapChar" w:customStyle="1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uiPriority w:val="99"/>
    <w:rsid w:val="00775E7D"/>
    <w:pPr>
      <w:widowControl w:val="0"/>
      <w:spacing w:after="0" w:line="276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 w:val="1"/>
    <w:rsid w:val="00775E7D"/>
    <w:pPr>
      <w:spacing w:after="0" w:line="240" w:lineRule="auto"/>
      <w:jc w:val="both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775E7D"/>
    <w:rPr>
      <w:rFonts w:ascii="Arial" w:cs="Times New Roman" w:eastAsia="Times New Roman" w:hAnsi="Arial"/>
      <w:sz w:val="24"/>
      <w:szCs w:val="20"/>
      <w:lang w:eastAsia="pt-BR" w:val="en-US"/>
    </w:rPr>
  </w:style>
  <w:style w:type="paragraph" w:styleId="PargrafodaLista">
    <w:name w:val="List Paragraph"/>
    <w:basedOn w:val="Normal"/>
    <w:uiPriority w:val="34"/>
    <w:qFormat w:val="1"/>
    <w:rsid w:val="00C951B7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28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2884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HUqrQzi/VFunPlv4WCE6z/1KA==">CgMxLjAyCGguZ2pkZ3hzOAByITFiRHE1YW9pUDlLT0NSb0E4TktJMTZXbGtHc2tZR0hPNA==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2023-10-25T17:27:00Z</dcterms:created>
  <dc:creator>RISODALVA BEATA DE CASTRO</dc:creator>
</cp:coreProperties>
</file>